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1C5A32" w:rsidTr="001B5A86">
        <w:trPr>
          <w:trHeight w:val="522"/>
        </w:trPr>
        <w:tc>
          <w:tcPr>
            <w:tcW w:w="9016" w:type="dxa"/>
            <w:tcBorders>
              <w:top w:val="nil"/>
              <w:left w:val="nil"/>
              <w:right w:val="nil"/>
            </w:tcBorders>
          </w:tcPr>
          <w:p w:rsidR="004E02A4" w:rsidRPr="001B5A86" w:rsidRDefault="00547BE6" w:rsidP="0008573D">
            <w:pPr>
              <w:rPr>
                <w:rFonts w:ascii="Arial" w:hAnsi="Arial" w:cs="Arial"/>
                <w:b/>
                <w:color w:val="FF0000"/>
              </w:rPr>
            </w:pPr>
            <w:bookmarkStart w:id="0" w:name="_GoBack"/>
            <w:bookmarkEnd w:id="0"/>
          </w:p>
        </w:tc>
      </w:tr>
      <w:tr w:rsidR="001C5A32" w:rsidTr="00E71D63">
        <w:trPr>
          <w:trHeight w:val="522"/>
        </w:trPr>
        <w:tc>
          <w:tcPr>
            <w:tcW w:w="9016" w:type="dxa"/>
          </w:tcPr>
          <w:p w:rsidR="001B5A86" w:rsidRPr="004E02A4" w:rsidRDefault="00547BE6" w:rsidP="001B5A86">
            <w:pPr>
              <w:rPr>
                <w:rFonts w:ascii="Arial" w:hAnsi="Arial" w:cs="Arial"/>
                <w:b/>
                <w:sz w:val="24"/>
                <w:szCs w:val="24"/>
              </w:rPr>
            </w:pPr>
            <w:r w:rsidRPr="004E02A4">
              <w:rPr>
                <w:rFonts w:ascii="Arial" w:hAnsi="Arial" w:cs="Arial"/>
                <w:b/>
                <w:sz w:val="24"/>
                <w:szCs w:val="24"/>
              </w:rPr>
              <w:t>Procurement Title</w:t>
            </w:r>
          </w:p>
          <w:p w:rsidR="001B5A86" w:rsidRPr="004E02A4" w:rsidRDefault="00547BE6" w:rsidP="001B5A86">
            <w:pPr>
              <w:rPr>
                <w:rFonts w:ascii="Arial" w:hAnsi="Arial" w:cs="Arial"/>
                <w:b/>
                <w:sz w:val="24"/>
                <w:szCs w:val="24"/>
              </w:rPr>
            </w:pPr>
            <w:r w:rsidRPr="00524B25">
              <w:rPr>
                <w:rFonts w:ascii="Arial" w:hAnsi="Arial" w:cs="Arial"/>
              </w:rPr>
              <w:t>Agency Staff Neutral Vendor Managed Service</w:t>
            </w:r>
          </w:p>
        </w:tc>
      </w:tr>
      <w:tr w:rsidR="001C5A32" w:rsidTr="00E71D63">
        <w:trPr>
          <w:trHeight w:val="511"/>
        </w:trPr>
        <w:tc>
          <w:tcPr>
            <w:tcW w:w="9016" w:type="dxa"/>
          </w:tcPr>
          <w:p w:rsidR="004E02A4" w:rsidRPr="004E02A4" w:rsidRDefault="00547BE6" w:rsidP="0008573D">
            <w:pPr>
              <w:rPr>
                <w:rFonts w:ascii="Arial" w:hAnsi="Arial" w:cs="Arial"/>
                <w:b/>
                <w:sz w:val="24"/>
                <w:szCs w:val="24"/>
              </w:rPr>
            </w:pPr>
            <w:r w:rsidRPr="004E02A4">
              <w:rPr>
                <w:rFonts w:ascii="Arial" w:hAnsi="Arial" w:cs="Arial"/>
                <w:b/>
                <w:sz w:val="24"/>
                <w:szCs w:val="24"/>
              </w:rPr>
              <w:t>Procurement Option</w:t>
            </w:r>
          </w:p>
          <w:p w:rsidR="004E02A4" w:rsidRPr="00524B25" w:rsidRDefault="00547BE6" w:rsidP="00524B25">
            <w:pPr>
              <w:rPr>
                <w:rFonts w:ascii="Arial" w:hAnsi="Arial" w:cs="Arial"/>
                <w:color w:val="FF0000"/>
              </w:rPr>
            </w:pPr>
            <w:r w:rsidRPr="00524B25">
              <w:rPr>
                <w:rFonts w:ascii="Arial" w:hAnsi="Arial" w:cs="Arial"/>
              </w:rPr>
              <w:t xml:space="preserve">Direct Award via Eastern Shires Purchasing Organisation (ESPO) </w:t>
            </w:r>
            <w:r w:rsidRPr="00524B25">
              <w:t xml:space="preserve"> </w:t>
            </w:r>
            <w:r w:rsidRPr="00524B25">
              <w:rPr>
                <w:rFonts w:ascii="Arial" w:hAnsi="Arial" w:cs="Arial"/>
              </w:rPr>
              <w:t>Managed Services for Temporary Agency Resources framework (MSTAR3)</w:t>
            </w:r>
          </w:p>
        </w:tc>
      </w:tr>
      <w:tr w:rsidR="001C5A32" w:rsidTr="00E71D63">
        <w:trPr>
          <w:trHeight w:val="511"/>
        </w:trPr>
        <w:tc>
          <w:tcPr>
            <w:tcW w:w="9016" w:type="dxa"/>
          </w:tcPr>
          <w:p w:rsidR="004E02A4" w:rsidRPr="004E02A4" w:rsidRDefault="00547BE6" w:rsidP="0008573D">
            <w:pPr>
              <w:rPr>
                <w:rFonts w:ascii="Arial" w:hAnsi="Arial" w:cs="Arial"/>
                <w:b/>
                <w:sz w:val="24"/>
                <w:szCs w:val="24"/>
              </w:rPr>
            </w:pPr>
            <w:r w:rsidRPr="004E02A4">
              <w:rPr>
                <w:rFonts w:ascii="Arial" w:hAnsi="Arial" w:cs="Arial"/>
                <w:b/>
                <w:sz w:val="24"/>
                <w:szCs w:val="24"/>
              </w:rPr>
              <w:t>New or Existing Provision</w:t>
            </w:r>
          </w:p>
          <w:p w:rsidR="004E02A4" w:rsidRPr="00524B25" w:rsidRDefault="00547BE6" w:rsidP="00524B25">
            <w:pPr>
              <w:rPr>
                <w:rFonts w:ascii="Arial" w:hAnsi="Arial" w:cs="Arial"/>
                <w:color w:val="FF0000"/>
              </w:rPr>
            </w:pPr>
            <w:r w:rsidRPr="00524B25">
              <w:rPr>
                <w:rFonts w:ascii="Arial" w:hAnsi="Arial" w:cs="Arial"/>
              </w:rPr>
              <w:t>Existing – current contract end date 01/03/2021</w:t>
            </w:r>
          </w:p>
        </w:tc>
      </w:tr>
      <w:tr w:rsidR="001C5A32" w:rsidTr="00E71D63">
        <w:trPr>
          <w:trHeight w:val="802"/>
        </w:trPr>
        <w:tc>
          <w:tcPr>
            <w:tcW w:w="9016" w:type="dxa"/>
          </w:tcPr>
          <w:p w:rsidR="004E02A4" w:rsidRPr="004E02A4" w:rsidRDefault="00547BE6" w:rsidP="0008573D">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rsidR="0008573D" w:rsidRPr="00524B25" w:rsidRDefault="00547BE6" w:rsidP="0008573D">
            <w:pPr>
              <w:rPr>
                <w:rFonts w:ascii="Arial" w:hAnsi="Arial" w:cs="Arial"/>
              </w:rPr>
            </w:pPr>
            <w:r>
              <w:rPr>
                <w:rFonts w:ascii="Arial" w:hAnsi="Arial" w:cs="Arial"/>
              </w:rPr>
              <w:t xml:space="preserve">Approximately </w:t>
            </w:r>
            <w:r w:rsidRPr="00524B25">
              <w:rPr>
                <w:rFonts w:ascii="Arial" w:hAnsi="Arial" w:cs="Arial"/>
              </w:rPr>
              <w:t xml:space="preserve">£10,875,000 per annum, £43,500,000 over four year contract term. </w:t>
            </w:r>
          </w:p>
          <w:p w:rsidR="004E02A4" w:rsidRPr="00E71D63" w:rsidRDefault="00547BE6" w:rsidP="004C1BC6">
            <w:pPr>
              <w:rPr>
                <w:rFonts w:ascii="Arial" w:hAnsi="Arial" w:cs="Arial"/>
                <w:i/>
                <w:color w:val="FF0000"/>
              </w:rPr>
            </w:pPr>
            <w:r w:rsidRPr="004C1BC6">
              <w:rPr>
                <w:rFonts w:ascii="Arial" w:hAnsi="Arial" w:cs="Arial"/>
              </w:rPr>
              <w:t xml:space="preserve">Payments in relation to agency staff are </w:t>
            </w:r>
            <w:r>
              <w:rPr>
                <w:rFonts w:ascii="Arial" w:hAnsi="Arial" w:cs="Arial"/>
              </w:rPr>
              <w:t>transferred to the</w:t>
            </w:r>
            <w:r w:rsidRPr="004C1BC6">
              <w:rPr>
                <w:rFonts w:ascii="Arial" w:hAnsi="Arial" w:cs="Arial"/>
              </w:rPr>
              <w:t xml:space="preserve"> appropriate </w:t>
            </w:r>
            <w:r>
              <w:rPr>
                <w:rFonts w:ascii="Arial" w:hAnsi="Arial" w:cs="Arial"/>
              </w:rPr>
              <w:t xml:space="preserve">service </w:t>
            </w:r>
            <w:r w:rsidRPr="004C1BC6">
              <w:rPr>
                <w:rFonts w:ascii="Arial" w:hAnsi="Arial" w:cs="Arial"/>
              </w:rPr>
              <w:t>budget.</w:t>
            </w:r>
          </w:p>
        </w:tc>
      </w:tr>
      <w:tr w:rsidR="001C5A32" w:rsidTr="00E71D63">
        <w:trPr>
          <w:trHeight w:val="802"/>
        </w:trPr>
        <w:tc>
          <w:tcPr>
            <w:tcW w:w="9016" w:type="dxa"/>
          </w:tcPr>
          <w:p w:rsidR="00D752B6" w:rsidRDefault="00547BE6" w:rsidP="0008573D">
            <w:pPr>
              <w:rPr>
                <w:rFonts w:ascii="Arial" w:hAnsi="Arial" w:cs="Arial"/>
                <w:b/>
                <w:sz w:val="24"/>
                <w:szCs w:val="24"/>
              </w:rPr>
            </w:pPr>
            <w:r>
              <w:rPr>
                <w:rFonts w:ascii="Arial" w:hAnsi="Arial" w:cs="Arial"/>
                <w:b/>
                <w:sz w:val="24"/>
                <w:szCs w:val="24"/>
              </w:rPr>
              <w:t>Contract Duration</w:t>
            </w:r>
          </w:p>
          <w:p w:rsidR="00D752B6" w:rsidRPr="00524B25" w:rsidRDefault="00547BE6" w:rsidP="00734E38">
            <w:pPr>
              <w:rPr>
                <w:rFonts w:ascii="Arial" w:hAnsi="Arial" w:cs="Arial"/>
                <w:color w:val="FF0000"/>
              </w:rPr>
            </w:pPr>
            <w:r w:rsidRPr="00524B25">
              <w:rPr>
                <w:rFonts w:ascii="Arial" w:hAnsi="Arial" w:cs="Arial"/>
              </w:rPr>
              <w:t>Initial period of 24 months with an option to extend the contract beyond the initial term to a maximum of a further 24 months.</w:t>
            </w:r>
          </w:p>
        </w:tc>
      </w:tr>
      <w:tr w:rsidR="001C5A32" w:rsidTr="00E71D63">
        <w:trPr>
          <w:trHeight w:val="1546"/>
        </w:trPr>
        <w:tc>
          <w:tcPr>
            <w:tcW w:w="9016" w:type="dxa"/>
          </w:tcPr>
          <w:p w:rsidR="004E02A4" w:rsidRPr="004E02A4" w:rsidRDefault="00547BE6" w:rsidP="0008573D">
            <w:pPr>
              <w:rPr>
                <w:rFonts w:ascii="Arial" w:hAnsi="Arial" w:cs="Arial"/>
                <w:b/>
                <w:sz w:val="24"/>
                <w:szCs w:val="24"/>
              </w:rPr>
            </w:pPr>
            <w:r w:rsidRPr="004E02A4">
              <w:rPr>
                <w:rFonts w:ascii="Arial" w:hAnsi="Arial" w:cs="Arial"/>
                <w:b/>
                <w:sz w:val="24"/>
                <w:szCs w:val="24"/>
              </w:rPr>
              <w:t>Lotting</w:t>
            </w:r>
          </w:p>
          <w:p w:rsidR="009003A7" w:rsidRDefault="00547BE6" w:rsidP="009003A7">
            <w:pPr>
              <w:jc w:val="both"/>
              <w:rPr>
                <w:rFonts w:ascii="Arial" w:hAnsi="Arial" w:cs="Arial"/>
              </w:rPr>
            </w:pPr>
            <w:r>
              <w:rPr>
                <w:rFonts w:ascii="Arial" w:hAnsi="Arial" w:cs="Arial"/>
              </w:rPr>
              <w:t>Not applicable. The contract will be delivered via a neutral vendor,</w:t>
            </w:r>
            <w:r>
              <w:rPr>
                <w:rFonts w:ascii="Arial" w:hAnsi="Arial" w:cs="Arial"/>
              </w:rPr>
              <w:t xml:space="preserve"> managed service provider model. The provider will manage a supply chain of approximately 81 recruitment agencies to fulfil placements for a variety of job categories. </w:t>
            </w:r>
          </w:p>
          <w:p w:rsidR="009003A7" w:rsidRDefault="00547BE6" w:rsidP="009003A7">
            <w:pPr>
              <w:jc w:val="both"/>
              <w:rPr>
                <w:rFonts w:ascii="Arial" w:hAnsi="Arial" w:cs="Arial"/>
              </w:rPr>
            </w:pPr>
          </w:p>
          <w:p w:rsidR="00FE6409" w:rsidRPr="002E7709" w:rsidRDefault="00547BE6" w:rsidP="002E7709">
            <w:pPr>
              <w:jc w:val="both"/>
              <w:rPr>
                <w:rFonts w:ascii="Arial" w:hAnsi="Arial" w:cs="Arial"/>
              </w:rPr>
            </w:pPr>
            <w:r>
              <w:rPr>
                <w:rFonts w:ascii="Arial" w:hAnsi="Arial" w:cs="Arial"/>
              </w:rPr>
              <w:t>Lotting the contract into specific job categories would undermine the neutral vendor m</w:t>
            </w:r>
            <w:r>
              <w:rPr>
                <w:rFonts w:ascii="Arial" w:hAnsi="Arial" w:cs="Arial"/>
              </w:rPr>
              <w:t>odel and create an unnecessary administration burden on the Council (for example training managers on different provider systems, processing invoices from multiple providers etc.).</w:t>
            </w:r>
          </w:p>
        </w:tc>
      </w:tr>
      <w:tr w:rsidR="001C5A32" w:rsidTr="00E71D63">
        <w:trPr>
          <w:trHeight w:val="1322"/>
        </w:trPr>
        <w:tc>
          <w:tcPr>
            <w:tcW w:w="9016" w:type="dxa"/>
            <w:vAlign w:val="center"/>
          </w:tcPr>
          <w:p w:rsidR="00E71D63" w:rsidRDefault="00547BE6" w:rsidP="00E71D63">
            <w:pPr>
              <w:rPr>
                <w:rFonts w:ascii="Arial" w:hAnsi="Arial" w:cs="Arial"/>
                <w:b/>
                <w:sz w:val="24"/>
                <w:szCs w:val="24"/>
              </w:rPr>
            </w:pPr>
            <w:r w:rsidRPr="004E02A4">
              <w:rPr>
                <w:rFonts w:ascii="Arial" w:hAnsi="Arial" w:cs="Arial"/>
                <w:b/>
                <w:sz w:val="24"/>
                <w:szCs w:val="24"/>
              </w:rPr>
              <w:t>Evaluation</w:t>
            </w:r>
          </w:p>
          <w:p w:rsidR="00174764" w:rsidRDefault="00547BE6" w:rsidP="009B0DF1">
            <w:pPr>
              <w:jc w:val="both"/>
              <w:rPr>
                <w:rFonts w:ascii="Arial" w:hAnsi="Arial" w:cs="Arial"/>
              </w:rPr>
            </w:pPr>
            <w:r w:rsidRPr="00174764">
              <w:rPr>
                <w:rFonts w:ascii="Arial" w:hAnsi="Arial" w:cs="Arial"/>
              </w:rPr>
              <w:t>A formal te</w:t>
            </w:r>
            <w:r>
              <w:rPr>
                <w:rFonts w:ascii="Arial" w:hAnsi="Arial" w:cs="Arial"/>
              </w:rPr>
              <w:t>nder evaluation is not required</w:t>
            </w:r>
            <w:r w:rsidRPr="00174764">
              <w:rPr>
                <w:rFonts w:ascii="Arial" w:hAnsi="Arial" w:cs="Arial"/>
              </w:rPr>
              <w:t xml:space="preserve"> as the contract </w:t>
            </w:r>
            <w:r>
              <w:rPr>
                <w:rFonts w:ascii="Arial" w:hAnsi="Arial" w:cs="Arial"/>
              </w:rPr>
              <w:t>will</w:t>
            </w:r>
            <w:r>
              <w:rPr>
                <w:rFonts w:ascii="Arial" w:hAnsi="Arial" w:cs="Arial"/>
              </w:rPr>
              <w:t xml:space="preserve"> be awarded </w:t>
            </w:r>
            <w:r w:rsidRPr="00174764">
              <w:rPr>
                <w:rFonts w:ascii="Arial" w:hAnsi="Arial" w:cs="Arial"/>
              </w:rPr>
              <w:t xml:space="preserve">through the ESPO MSTAR3 framework via a direct award. </w:t>
            </w:r>
          </w:p>
          <w:p w:rsidR="00623D50" w:rsidRDefault="00547BE6" w:rsidP="009B0DF1">
            <w:pPr>
              <w:jc w:val="both"/>
              <w:rPr>
                <w:rFonts w:ascii="Arial" w:hAnsi="Arial" w:cs="Arial"/>
              </w:rPr>
            </w:pPr>
          </w:p>
          <w:p w:rsidR="00623D50" w:rsidRDefault="00547BE6" w:rsidP="00623D50">
            <w:pPr>
              <w:jc w:val="both"/>
              <w:rPr>
                <w:rFonts w:ascii="Arial" w:hAnsi="Arial" w:cs="Arial"/>
              </w:rPr>
            </w:pPr>
            <w:r>
              <w:rPr>
                <w:rFonts w:ascii="Arial" w:hAnsi="Arial" w:cs="Arial"/>
              </w:rPr>
              <w:t xml:space="preserve">MSTAR3 allows </w:t>
            </w:r>
            <w:r w:rsidRPr="00814973">
              <w:rPr>
                <w:rFonts w:ascii="Arial" w:hAnsi="Arial" w:cs="Arial"/>
              </w:rPr>
              <w:t xml:space="preserve">for a simple and competitive route to </w:t>
            </w:r>
            <w:r>
              <w:rPr>
                <w:rFonts w:ascii="Arial" w:hAnsi="Arial" w:cs="Arial"/>
              </w:rPr>
              <w:t xml:space="preserve">procuring the required services and </w:t>
            </w:r>
            <w:r w:rsidRPr="00814973">
              <w:rPr>
                <w:rFonts w:ascii="Arial" w:hAnsi="Arial" w:cs="Arial"/>
              </w:rPr>
              <w:t>is compliant with</w:t>
            </w:r>
            <w:r>
              <w:rPr>
                <w:rFonts w:ascii="Arial" w:hAnsi="Arial" w:cs="Arial"/>
              </w:rPr>
              <w:t xml:space="preserve"> UK/EU procurement legislation, and therefore removes the </w:t>
            </w:r>
            <w:r w:rsidRPr="00814973">
              <w:rPr>
                <w:rFonts w:ascii="Arial" w:hAnsi="Arial" w:cs="Arial"/>
              </w:rPr>
              <w:t>need to run a full EU p</w:t>
            </w:r>
            <w:r>
              <w:rPr>
                <w:rFonts w:ascii="Arial" w:hAnsi="Arial" w:cs="Arial"/>
              </w:rPr>
              <w:t>r</w:t>
            </w:r>
            <w:r>
              <w:rPr>
                <w:rFonts w:ascii="Arial" w:hAnsi="Arial" w:cs="Arial"/>
              </w:rPr>
              <w:t>ocurement process. All providers</w:t>
            </w:r>
            <w:r w:rsidRPr="00814973">
              <w:rPr>
                <w:rFonts w:ascii="Arial" w:hAnsi="Arial" w:cs="Arial"/>
              </w:rPr>
              <w:t xml:space="preserve"> listed on the </w:t>
            </w:r>
            <w:r>
              <w:rPr>
                <w:rFonts w:ascii="Arial" w:hAnsi="Arial" w:cs="Arial"/>
              </w:rPr>
              <w:t xml:space="preserve">ESPO </w:t>
            </w:r>
            <w:r w:rsidRPr="00814973">
              <w:rPr>
                <w:rFonts w:ascii="Arial" w:hAnsi="Arial" w:cs="Arial"/>
              </w:rPr>
              <w:t xml:space="preserve">framework </w:t>
            </w:r>
            <w:r>
              <w:rPr>
                <w:rFonts w:ascii="Arial" w:hAnsi="Arial" w:cs="Arial"/>
              </w:rPr>
              <w:t xml:space="preserve">have been assessed </w:t>
            </w:r>
            <w:r w:rsidRPr="00814973">
              <w:rPr>
                <w:rFonts w:ascii="Arial" w:hAnsi="Arial" w:cs="Arial"/>
              </w:rPr>
              <w:t>for their financial stability, track rec</w:t>
            </w:r>
            <w:r>
              <w:rPr>
                <w:rFonts w:ascii="Arial" w:hAnsi="Arial" w:cs="Arial"/>
              </w:rPr>
              <w:t xml:space="preserve">ord, experience and technical and </w:t>
            </w:r>
            <w:r w:rsidRPr="00814973">
              <w:rPr>
                <w:rFonts w:ascii="Arial" w:hAnsi="Arial" w:cs="Arial"/>
              </w:rPr>
              <w:t>professional ability.</w:t>
            </w:r>
          </w:p>
          <w:p w:rsidR="00174764" w:rsidRPr="00174764" w:rsidRDefault="00547BE6" w:rsidP="009B0DF1">
            <w:pPr>
              <w:jc w:val="both"/>
              <w:rPr>
                <w:rFonts w:ascii="Arial" w:hAnsi="Arial" w:cs="Arial"/>
              </w:rPr>
            </w:pPr>
          </w:p>
          <w:p w:rsidR="00E71D63" w:rsidRPr="00174764" w:rsidRDefault="00547BE6" w:rsidP="009B0DF1">
            <w:pPr>
              <w:jc w:val="both"/>
              <w:rPr>
                <w:rFonts w:ascii="Arial" w:hAnsi="Arial" w:cs="Arial"/>
              </w:rPr>
            </w:pPr>
            <w:r>
              <w:rPr>
                <w:rFonts w:ascii="Arial" w:hAnsi="Arial" w:cs="Arial"/>
              </w:rPr>
              <w:t>A price benchmarking exercise has been</w:t>
            </w:r>
            <w:r w:rsidRPr="00174764">
              <w:rPr>
                <w:rFonts w:ascii="Arial" w:hAnsi="Arial" w:cs="Arial"/>
              </w:rPr>
              <w:t xml:space="preserve"> conducted</w:t>
            </w:r>
            <w:r>
              <w:rPr>
                <w:rFonts w:ascii="Arial" w:hAnsi="Arial" w:cs="Arial"/>
              </w:rPr>
              <w:t xml:space="preserve"> by the council,</w:t>
            </w:r>
            <w:r w:rsidRPr="00174764">
              <w:rPr>
                <w:rFonts w:ascii="Arial" w:hAnsi="Arial" w:cs="Arial"/>
              </w:rPr>
              <w:t xml:space="preserve"> </w:t>
            </w:r>
            <w:r>
              <w:rPr>
                <w:rFonts w:ascii="Arial" w:hAnsi="Arial" w:cs="Arial"/>
              </w:rPr>
              <w:t>against all s</w:t>
            </w:r>
            <w:r>
              <w:rPr>
                <w:rFonts w:ascii="Arial" w:hAnsi="Arial" w:cs="Arial"/>
              </w:rPr>
              <w:t xml:space="preserve">uppliers on the ESPO MSTAR3 framework </w:t>
            </w:r>
            <w:r w:rsidRPr="00174764">
              <w:rPr>
                <w:rFonts w:ascii="Arial" w:hAnsi="Arial" w:cs="Arial"/>
              </w:rPr>
              <w:t xml:space="preserve">in order to identify the </w:t>
            </w:r>
            <w:r>
              <w:rPr>
                <w:rFonts w:ascii="Arial" w:hAnsi="Arial" w:cs="Arial"/>
              </w:rPr>
              <w:t>best value supplier.</w:t>
            </w:r>
          </w:p>
          <w:p w:rsidR="00174764" w:rsidRPr="00174764" w:rsidRDefault="00547BE6" w:rsidP="00174764">
            <w:pPr>
              <w:rPr>
                <w:rFonts w:ascii="Arial" w:hAnsi="Arial" w:cs="Arial"/>
              </w:rPr>
            </w:pPr>
          </w:p>
          <w:p w:rsidR="00174764" w:rsidRPr="00E71D63" w:rsidRDefault="00547BE6" w:rsidP="009B0DF1">
            <w:pPr>
              <w:jc w:val="both"/>
              <w:rPr>
                <w:rFonts w:ascii="Arial" w:hAnsi="Arial" w:cs="Arial"/>
                <w:i/>
                <w:color w:val="FF0000"/>
                <w:sz w:val="24"/>
                <w:szCs w:val="24"/>
              </w:rPr>
            </w:pPr>
            <w:r w:rsidRPr="00174764">
              <w:rPr>
                <w:rFonts w:ascii="Arial" w:hAnsi="Arial" w:cs="Arial"/>
              </w:rPr>
              <w:t xml:space="preserve">Social value commitments are included as part of the contract award.  </w:t>
            </w:r>
          </w:p>
        </w:tc>
      </w:tr>
      <w:tr w:rsidR="001C5A32" w:rsidTr="001B5A86">
        <w:trPr>
          <w:trHeight w:val="2542"/>
        </w:trPr>
        <w:tc>
          <w:tcPr>
            <w:tcW w:w="9016" w:type="dxa"/>
          </w:tcPr>
          <w:p w:rsidR="004E02A4" w:rsidRPr="004E02A4" w:rsidRDefault="00547BE6" w:rsidP="00E71D63">
            <w:pPr>
              <w:jc w:val="both"/>
              <w:rPr>
                <w:rFonts w:ascii="Arial" w:hAnsi="Arial" w:cs="Arial"/>
                <w:b/>
                <w:sz w:val="24"/>
                <w:szCs w:val="24"/>
              </w:rPr>
            </w:pPr>
            <w:r w:rsidRPr="004E02A4">
              <w:rPr>
                <w:rFonts w:ascii="Arial" w:hAnsi="Arial" w:cs="Arial"/>
                <w:b/>
                <w:sz w:val="24"/>
                <w:szCs w:val="24"/>
              </w:rPr>
              <w:t>Contract Detail</w:t>
            </w:r>
          </w:p>
          <w:p w:rsidR="002E7709" w:rsidRPr="002E7709" w:rsidRDefault="00547BE6" w:rsidP="002E7709">
            <w:pPr>
              <w:jc w:val="both"/>
              <w:rPr>
                <w:rFonts w:ascii="Arial" w:hAnsi="Arial" w:cs="Arial"/>
              </w:rPr>
            </w:pPr>
            <w:r>
              <w:rPr>
                <w:rFonts w:ascii="Arial" w:hAnsi="Arial" w:cs="Arial"/>
              </w:rPr>
              <w:t>The</w:t>
            </w:r>
            <w:r w:rsidRPr="002E7709">
              <w:rPr>
                <w:rFonts w:ascii="Arial" w:hAnsi="Arial" w:cs="Arial"/>
              </w:rPr>
              <w:t xml:space="preserve"> Council employs up to 12,594 staff</w:t>
            </w:r>
            <w:r>
              <w:rPr>
                <w:rFonts w:ascii="Arial" w:hAnsi="Arial" w:cs="Arial"/>
              </w:rPr>
              <w:t xml:space="preserve"> and </w:t>
            </w:r>
            <w:r w:rsidRPr="002E7709">
              <w:rPr>
                <w:rFonts w:ascii="Arial" w:hAnsi="Arial" w:cs="Arial"/>
              </w:rPr>
              <w:t xml:space="preserve">requires agency staff to complement and </w:t>
            </w:r>
            <w:r w:rsidRPr="002E7709">
              <w:rPr>
                <w:rFonts w:ascii="Arial" w:hAnsi="Arial" w:cs="Arial"/>
              </w:rPr>
              <w:t>fill vacancy gaps i</w:t>
            </w:r>
            <w:r>
              <w:rPr>
                <w:rFonts w:ascii="Arial" w:hAnsi="Arial" w:cs="Arial"/>
              </w:rPr>
              <w:t>n the</w:t>
            </w:r>
            <w:r w:rsidRPr="002E7709">
              <w:rPr>
                <w:rFonts w:ascii="Arial" w:hAnsi="Arial" w:cs="Arial"/>
              </w:rPr>
              <w:t xml:space="preserve"> workforce at any given time. This may be across work profession categories such as</w:t>
            </w:r>
            <w:r>
              <w:rPr>
                <w:rFonts w:ascii="Arial" w:hAnsi="Arial" w:cs="Arial"/>
              </w:rPr>
              <w:t xml:space="preserve"> administration</w:t>
            </w:r>
            <w:r w:rsidRPr="002E7709">
              <w:rPr>
                <w:rFonts w:ascii="Arial" w:hAnsi="Arial" w:cs="Arial"/>
              </w:rPr>
              <w:t>, engineering, environmental, facilities management, legal, procurement, and social work</w:t>
            </w:r>
            <w:r>
              <w:rPr>
                <w:rFonts w:ascii="Arial" w:hAnsi="Arial" w:cs="Arial"/>
              </w:rPr>
              <w:t>,</w:t>
            </w:r>
            <w:r w:rsidRPr="002E7709">
              <w:rPr>
                <w:rFonts w:ascii="Arial" w:hAnsi="Arial" w:cs="Arial"/>
              </w:rPr>
              <w:t xml:space="preserve"> </w:t>
            </w:r>
            <w:r>
              <w:rPr>
                <w:rFonts w:ascii="Arial" w:hAnsi="Arial" w:cs="Arial"/>
              </w:rPr>
              <w:t>covering</w:t>
            </w:r>
            <w:r w:rsidRPr="002E7709">
              <w:rPr>
                <w:rFonts w:ascii="Arial" w:hAnsi="Arial" w:cs="Arial"/>
              </w:rPr>
              <w:t xml:space="preserve"> various levels, from lower grades t</w:t>
            </w:r>
            <w:r w:rsidRPr="002E7709">
              <w:rPr>
                <w:rFonts w:ascii="Arial" w:hAnsi="Arial" w:cs="Arial"/>
              </w:rPr>
              <w:t xml:space="preserve">o senior management. As such, a variety of agencies is required to fulfil such a varied and diverse workforce requirement. </w:t>
            </w:r>
          </w:p>
          <w:p w:rsidR="002E7709" w:rsidRPr="002E7709" w:rsidRDefault="00547BE6" w:rsidP="002E7709">
            <w:pPr>
              <w:rPr>
                <w:rFonts w:ascii="Arial" w:hAnsi="Arial" w:cs="Arial"/>
              </w:rPr>
            </w:pPr>
          </w:p>
          <w:p w:rsidR="002E7709" w:rsidRPr="002E7709" w:rsidRDefault="00547BE6" w:rsidP="005136B7">
            <w:pPr>
              <w:jc w:val="both"/>
              <w:rPr>
                <w:rFonts w:ascii="Arial" w:hAnsi="Arial" w:cs="Arial"/>
              </w:rPr>
            </w:pPr>
            <w:r>
              <w:rPr>
                <w:rFonts w:ascii="Arial" w:hAnsi="Arial" w:cs="Arial"/>
              </w:rPr>
              <w:t>A m</w:t>
            </w:r>
            <w:r w:rsidRPr="002E7709">
              <w:rPr>
                <w:rFonts w:ascii="Arial" w:hAnsi="Arial" w:cs="Arial"/>
              </w:rPr>
              <w:t>anaged serviced provi</w:t>
            </w:r>
            <w:r>
              <w:rPr>
                <w:rFonts w:ascii="Arial" w:hAnsi="Arial" w:cs="Arial"/>
              </w:rPr>
              <w:t>der (MSP)</w:t>
            </w:r>
            <w:r w:rsidRPr="002E7709">
              <w:rPr>
                <w:rFonts w:ascii="Arial" w:hAnsi="Arial" w:cs="Arial"/>
              </w:rPr>
              <w:t xml:space="preserve"> takes responsibility for customers' temporary staffing requirements rather than the customer mana</w:t>
            </w:r>
            <w:r w:rsidRPr="002E7709">
              <w:rPr>
                <w:rFonts w:ascii="Arial" w:hAnsi="Arial" w:cs="Arial"/>
              </w:rPr>
              <w:t xml:space="preserve">ging a selection of agencies themselves. </w:t>
            </w:r>
            <w:r>
              <w:rPr>
                <w:rFonts w:ascii="Arial" w:hAnsi="Arial" w:cs="Arial"/>
              </w:rPr>
              <w:t>The MSP manages</w:t>
            </w:r>
            <w:r w:rsidRPr="005136B7">
              <w:rPr>
                <w:rFonts w:ascii="Arial" w:hAnsi="Arial" w:cs="Arial"/>
              </w:rPr>
              <w:t xml:space="preserve"> the procurement, placement </w:t>
            </w:r>
            <w:r>
              <w:rPr>
                <w:rFonts w:ascii="Arial" w:hAnsi="Arial" w:cs="Arial"/>
              </w:rPr>
              <w:t xml:space="preserve">and payment arrangements of the </w:t>
            </w:r>
            <w:r w:rsidRPr="005136B7">
              <w:rPr>
                <w:rFonts w:ascii="Arial" w:hAnsi="Arial" w:cs="Arial"/>
              </w:rPr>
              <w:t>agency workers assigned by those supplying agencies.</w:t>
            </w:r>
          </w:p>
          <w:p w:rsidR="002E7709" w:rsidRPr="002E7709" w:rsidRDefault="00547BE6" w:rsidP="002E7709">
            <w:pPr>
              <w:jc w:val="both"/>
              <w:rPr>
                <w:rFonts w:ascii="Arial" w:hAnsi="Arial" w:cs="Arial"/>
              </w:rPr>
            </w:pPr>
          </w:p>
          <w:p w:rsidR="002E7709" w:rsidRDefault="00547BE6" w:rsidP="002E7709">
            <w:pPr>
              <w:jc w:val="both"/>
              <w:rPr>
                <w:rFonts w:ascii="Arial" w:hAnsi="Arial" w:cs="Arial"/>
              </w:rPr>
            </w:pPr>
            <w:r>
              <w:rPr>
                <w:rFonts w:ascii="Arial" w:hAnsi="Arial" w:cs="Arial"/>
              </w:rPr>
              <w:t>Benefits of using a MSP</w:t>
            </w:r>
            <w:r w:rsidRPr="002E7709">
              <w:rPr>
                <w:rFonts w:ascii="Arial" w:hAnsi="Arial" w:cs="Arial"/>
              </w:rPr>
              <w:t xml:space="preserve"> include:</w:t>
            </w:r>
          </w:p>
          <w:p w:rsidR="00623D50" w:rsidRPr="002E7709" w:rsidRDefault="00547BE6" w:rsidP="002E7709">
            <w:pPr>
              <w:jc w:val="both"/>
              <w:rPr>
                <w:rFonts w:ascii="Arial" w:hAnsi="Arial" w:cs="Arial"/>
              </w:rPr>
            </w:pP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lastRenderedPageBreak/>
              <w:t xml:space="preserve">Reduction in costs through economies of scale, </w:t>
            </w:r>
            <w:r w:rsidRPr="002E7709">
              <w:rPr>
                <w:rFonts w:cs="Arial"/>
                <w:sz w:val="22"/>
                <w:szCs w:val="22"/>
              </w:rPr>
              <w:t>efficiency savings, standardised fees</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Single point of contact</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Streamlining of invoicing</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Structured management information and reporting</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Agreed key performance indicators to drive improved service</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Robust compliance checks</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 xml:space="preserve">A more resilient service with </w:t>
            </w:r>
            <w:r w:rsidRPr="002E7709">
              <w:rPr>
                <w:rFonts w:cs="Arial"/>
                <w:sz w:val="22"/>
                <w:szCs w:val="22"/>
              </w:rPr>
              <w:t>access to multiple agencies</w:t>
            </w:r>
          </w:p>
          <w:p w:rsidR="002E7709" w:rsidRPr="002E7709" w:rsidRDefault="00547BE6" w:rsidP="002E7709">
            <w:pPr>
              <w:pStyle w:val="ListParagraph"/>
              <w:numPr>
                <w:ilvl w:val="0"/>
                <w:numId w:val="3"/>
              </w:numPr>
              <w:spacing w:after="0"/>
              <w:rPr>
                <w:rFonts w:cs="Arial"/>
                <w:sz w:val="22"/>
                <w:szCs w:val="22"/>
              </w:rPr>
            </w:pPr>
            <w:r w:rsidRPr="002E7709">
              <w:rPr>
                <w:rFonts w:cs="Arial"/>
                <w:sz w:val="22"/>
                <w:szCs w:val="22"/>
              </w:rPr>
              <w:t>Good opportunity for local and SME providers within supply chain</w:t>
            </w:r>
          </w:p>
          <w:p w:rsidR="002E7709" w:rsidRPr="002E7709" w:rsidRDefault="00547BE6" w:rsidP="002E7709">
            <w:pPr>
              <w:rPr>
                <w:rFonts w:ascii="Arial" w:hAnsi="Arial" w:cs="Arial"/>
              </w:rPr>
            </w:pPr>
          </w:p>
          <w:p w:rsidR="002E7709" w:rsidRPr="002E7709" w:rsidRDefault="00547BE6" w:rsidP="002E7709">
            <w:pPr>
              <w:jc w:val="both"/>
              <w:rPr>
                <w:rFonts w:ascii="Arial" w:hAnsi="Arial" w:cs="Arial"/>
              </w:rPr>
            </w:pPr>
            <w:r w:rsidRPr="002E7709">
              <w:rPr>
                <w:rFonts w:ascii="Arial" w:hAnsi="Arial" w:cs="Arial"/>
              </w:rPr>
              <w:t xml:space="preserve">A </w:t>
            </w:r>
            <w:r w:rsidRPr="005136B7">
              <w:rPr>
                <w:rFonts w:ascii="Arial" w:hAnsi="Arial" w:cs="Arial"/>
              </w:rPr>
              <w:t>Neutral Vendor MSP</w:t>
            </w:r>
            <w:r w:rsidRPr="002E7709">
              <w:rPr>
                <w:rFonts w:ascii="Arial" w:hAnsi="Arial" w:cs="Arial"/>
              </w:rPr>
              <w:t xml:space="preserve"> manages the supply chain but does not necessarily supply any temporary agency workers themselves. The Neutral Vendor MSP may request temporar</w:t>
            </w:r>
            <w:r w:rsidRPr="002E7709">
              <w:rPr>
                <w:rFonts w:ascii="Arial" w:hAnsi="Arial" w:cs="Arial"/>
              </w:rPr>
              <w:t>y agency workers from subsidiary or associated companies but must ensure that these companies do not receive more favourable treatment than other agencies, as well as ensuring that the customer is only contracted to the Neutral Vendor MSP and not the agenc</w:t>
            </w:r>
            <w:r w:rsidRPr="002E7709">
              <w:rPr>
                <w:rFonts w:ascii="Arial" w:hAnsi="Arial" w:cs="Arial"/>
              </w:rPr>
              <w:t>ies directly. All agencies must be on the same fair terms and conditions.</w:t>
            </w:r>
          </w:p>
          <w:p w:rsidR="002E7709" w:rsidRDefault="00547BE6" w:rsidP="002E7709">
            <w:pPr>
              <w:shd w:val="clear" w:color="auto" w:fill="FFFFFF"/>
              <w:rPr>
                <w:rFonts w:ascii="Arial" w:hAnsi="Arial" w:cs="Arial"/>
              </w:rPr>
            </w:pPr>
          </w:p>
          <w:p w:rsidR="002E7709" w:rsidRPr="009B0DF1" w:rsidRDefault="00547BE6" w:rsidP="00D74AD8">
            <w:pPr>
              <w:shd w:val="clear" w:color="auto" w:fill="FFFFFF"/>
              <w:jc w:val="both"/>
              <w:rPr>
                <w:rFonts w:ascii="Arial" w:hAnsi="Arial" w:cs="Arial"/>
              </w:rPr>
            </w:pPr>
            <w:r w:rsidRPr="002E7709">
              <w:rPr>
                <w:rFonts w:ascii="Arial" w:hAnsi="Arial" w:cs="Arial"/>
              </w:rPr>
              <w:t xml:space="preserve">The </w:t>
            </w:r>
            <w:r w:rsidRPr="009B0DF1">
              <w:rPr>
                <w:rFonts w:ascii="Arial" w:hAnsi="Arial" w:cs="Arial"/>
              </w:rPr>
              <w:t>Council currently has a Neutral Vendor MSP contract with Matrix SCM Ltd, which commenced 2 March 2017 and expires 1 March 2021.</w:t>
            </w:r>
          </w:p>
          <w:p w:rsidR="002E7709" w:rsidRDefault="00547BE6" w:rsidP="00E71D63">
            <w:pPr>
              <w:jc w:val="both"/>
              <w:rPr>
                <w:rFonts w:ascii="Arial" w:hAnsi="Arial" w:cs="Arial"/>
              </w:rPr>
            </w:pPr>
          </w:p>
          <w:p w:rsidR="00D74AD8" w:rsidRDefault="00547BE6" w:rsidP="00D74AD8">
            <w:pPr>
              <w:jc w:val="both"/>
              <w:rPr>
                <w:rFonts w:ascii="Arial" w:hAnsi="Arial" w:cs="Arial"/>
              </w:rPr>
            </w:pPr>
            <w:r>
              <w:rPr>
                <w:rFonts w:ascii="Arial" w:hAnsi="Arial" w:cs="Arial"/>
              </w:rPr>
              <w:t xml:space="preserve">The </w:t>
            </w:r>
            <w:r w:rsidRPr="00D74AD8">
              <w:rPr>
                <w:rFonts w:ascii="Arial" w:hAnsi="Arial" w:cs="Arial"/>
              </w:rPr>
              <w:t>Skills, Learning &amp; Development (SLD) team ma</w:t>
            </w:r>
            <w:r w:rsidRPr="00D74AD8">
              <w:rPr>
                <w:rFonts w:ascii="Arial" w:hAnsi="Arial" w:cs="Arial"/>
              </w:rPr>
              <w:t xml:space="preserve">nage the contract and wish to continue to use the neutral vendor </w:t>
            </w:r>
            <w:r>
              <w:rPr>
                <w:rFonts w:ascii="Arial" w:hAnsi="Arial" w:cs="Arial"/>
              </w:rPr>
              <w:t>model</w:t>
            </w:r>
            <w:r w:rsidRPr="00D74AD8">
              <w:rPr>
                <w:rFonts w:ascii="Arial" w:hAnsi="Arial" w:cs="Arial"/>
              </w:rPr>
              <w:t xml:space="preserve"> as</w:t>
            </w:r>
            <w:r>
              <w:rPr>
                <w:rFonts w:ascii="Arial" w:hAnsi="Arial" w:cs="Arial"/>
              </w:rPr>
              <w:t xml:space="preserve"> it works</w:t>
            </w:r>
            <w:r w:rsidRPr="00D74AD8">
              <w:rPr>
                <w:rFonts w:ascii="Arial" w:hAnsi="Arial" w:cs="Arial"/>
              </w:rPr>
              <w:t xml:space="preserve"> well for the Council</w:t>
            </w:r>
            <w:r>
              <w:rPr>
                <w:rFonts w:ascii="Arial" w:hAnsi="Arial" w:cs="Arial"/>
              </w:rPr>
              <w:t>. A high fulfilment rate of 99% reflects this position</w:t>
            </w:r>
            <w:r w:rsidRPr="00D74AD8">
              <w:rPr>
                <w:rFonts w:ascii="Arial" w:hAnsi="Arial" w:cs="Arial"/>
              </w:rPr>
              <w:t xml:space="preserve">. </w:t>
            </w:r>
          </w:p>
          <w:p w:rsidR="00814973" w:rsidRDefault="00547BE6" w:rsidP="00814973">
            <w:pPr>
              <w:jc w:val="both"/>
              <w:rPr>
                <w:rFonts w:ascii="Arial" w:hAnsi="Arial" w:cs="Arial"/>
              </w:rPr>
            </w:pPr>
          </w:p>
          <w:p w:rsidR="00DF19AD" w:rsidRPr="00DE1633" w:rsidRDefault="00547BE6" w:rsidP="00DE1633">
            <w:pPr>
              <w:jc w:val="both"/>
              <w:rPr>
                <w:rFonts w:ascii="Arial" w:hAnsi="Arial" w:cs="Arial"/>
              </w:rPr>
            </w:pPr>
            <w:r w:rsidRPr="00D74AD8">
              <w:rPr>
                <w:rFonts w:ascii="Arial" w:hAnsi="Arial" w:cs="Arial"/>
              </w:rPr>
              <w:t xml:space="preserve">A </w:t>
            </w:r>
            <w:r>
              <w:rPr>
                <w:rFonts w:ascii="Arial" w:hAnsi="Arial" w:cs="Arial"/>
              </w:rPr>
              <w:t xml:space="preserve">price </w:t>
            </w:r>
            <w:r w:rsidRPr="00D74AD8">
              <w:rPr>
                <w:rFonts w:ascii="Arial" w:hAnsi="Arial" w:cs="Arial"/>
              </w:rPr>
              <w:t xml:space="preserve">benchmarking exercise conducted against the other </w:t>
            </w:r>
            <w:r>
              <w:rPr>
                <w:rFonts w:ascii="Arial" w:hAnsi="Arial" w:cs="Arial"/>
              </w:rPr>
              <w:t>providers</w:t>
            </w:r>
            <w:r w:rsidRPr="00D74AD8">
              <w:rPr>
                <w:rFonts w:ascii="Arial" w:hAnsi="Arial" w:cs="Arial"/>
              </w:rPr>
              <w:t xml:space="preserve"> on the ESPO framework demonstrates </w:t>
            </w:r>
            <w:r w:rsidRPr="00DE1633">
              <w:rPr>
                <w:rFonts w:ascii="Arial" w:hAnsi="Arial" w:cs="Arial"/>
              </w:rPr>
              <w:t>that Matrix SCM Ltd continue to offer best value for the Council</w:t>
            </w:r>
            <w:r>
              <w:rPr>
                <w:rFonts w:ascii="Arial" w:hAnsi="Arial" w:cs="Arial"/>
              </w:rPr>
              <w:t xml:space="preserve"> and also </w:t>
            </w:r>
            <w:r w:rsidRPr="00DE1633">
              <w:rPr>
                <w:rFonts w:ascii="Arial" w:hAnsi="Arial" w:cs="Arial"/>
              </w:rPr>
              <w:t>t</w:t>
            </w:r>
            <w:r>
              <w:rPr>
                <w:rFonts w:ascii="Arial" w:hAnsi="Arial" w:cs="Arial"/>
              </w:rPr>
              <w:t>ook</w:t>
            </w:r>
            <w:r w:rsidRPr="00DE1633">
              <w:rPr>
                <w:rFonts w:ascii="Arial" w:hAnsi="Arial" w:cs="Arial"/>
              </w:rPr>
              <w:t xml:space="preserve"> into account a number of practical implications:</w:t>
            </w:r>
          </w:p>
          <w:p w:rsidR="00DF19AD" w:rsidRPr="00DE1633" w:rsidRDefault="00547BE6" w:rsidP="00DE1633">
            <w:pPr>
              <w:jc w:val="both"/>
              <w:rPr>
                <w:rFonts w:ascii="Arial" w:hAnsi="Arial" w:cs="Arial"/>
              </w:rPr>
            </w:pPr>
          </w:p>
          <w:p w:rsidR="006F3803" w:rsidRPr="00DE1633" w:rsidRDefault="00547BE6" w:rsidP="00DE1633">
            <w:pPr>
              <w:pStyle w:val="ListParagraph"/>
              <w:numPr>
                <w:ilvl w:val="0"/>
                <w:numId w:val="5"/>
              </w:numPr>
              <w:spacing w:after="0"/>
              <w:rPr>
                <w:rFonts w:cs="Arial"/>
                <w:color w:val="auto"/>
                <w:sz w:val="22"/>
                <w:szCs w:val="22"/>
              </w:rPr>
            </w:pPr>
            <w:r w:rsidRPr="00DE1633">
              <w:rPr>
                <w:rFonts w:cs="Arial"/>
                <w:color w:val="auto"/>
                <w:sz w:val="22"/>
                <w:szCs w:val="22"/>
              </w:rPr>
              <w:t>The resource implications that would be required to re-train all recruiting</w:t>
            </w:r>
            <w:r w:rsidRPr="00DE1633">
              <w:rPr>
                <w:rFonts w:cs="Arial"/>
                <w:color w:val="auto"/>
                <w:sz w:val="22"/>
                <w:szCs w:val="22"/>
              </w:rPr>
              <w:t xml:space="preserve"> managers (approximately 399) on a new system should there be a change of neutral vendor provider.</w:t>
            </w:r>
          </w:p>
          <w:p w:rsidR="006F3803" w:rsidRPr="00DE1633" w:rsidRDefault="00547BE6" w:rsidP="00DE1633">
            <w:pPr>
              <w:pStyle w:val="ListParagraph"/>
              <w:numPr>
                <w:ilvl w:val="0"/>
                <w:numId w:val="5"/>
              </w:numPr>
              <w:spacing w:after="0"/>
              <w:rPr>
                <w:rFonts w:cs="Arial"/>
                <w:color w:val="auto"/>
                <w:sz w:val="22"/>
                <w:szCs w:val="22"/>
              </w:rPr>
            </w:pPr>
            <w:r w:rsidRPr="00DE1633">
              <w:rPr>
                <w:rFonts w:cs="Arial"/>
                <w:color w:val="auto"/>
                <w:sz w:val="22"/>
                <w:szCs w:val="22"/>
              </w:rPr>
              <w:t xml:space="preserve">In areas of high turnover, relationships have inevitably formed between the recruiting managers and agencies where, in some cases, repeat agency workers are </w:t>
            </w:r>
            <w:r w:rsidRPr="00DE1633">
              <w:rPr>
                <w:rFonts w:cs="Arial"/>
                <w:color w:val="auto"/>
                <w:sz w:val="22"/>
                <w:szCs w:val="22"/>
              </w:rPr>
              <w:t xml:space="preserve">preferred so that there is consistency in supporting and providing care to some of the Councils most vulnerable clients. A change of neutral vendor provider could mean that parts of the supply chain are required to sign up to a new vendor. This would take </w:t>
            </w:r>
            <w:r w:rsidRPr="00DE1633">
              <w:rPr>
                <w:rFonts w:cs="Arial"/>
                <w:color w:val="auto"/>
                <w:sz w:val="22"/>
                <w:szCs w:val="22"/>
              </w:rPr>
              <w:t xml:space="preserve">time and have an impact on the supply chain in the short to medium term. </w:t>
            </w:r>
          </w:p>
          <w:p w:rsidR="006F3803" w:rsidRPr="00B34506" w:rsidRDefault="00547BE6" w:rsidP="00DE1633">
            <w:pPr>
              <w:pStyle w:val="ListParagraph"/>
              <w:numPr>
                <w:ilvl w:val="0"/>
                <w:numId w:val="5"/>
              </w:numPr>
              <w:spacing w:after="0"/>
              <w:rPr>
                <w:rFonts w:cs="Arial"/>
              </w:rPr>
            </w:pPr>
            <w:r w:rsidRPr="00DE1633">
              <w:rPr>
                <w:rFonts w:cs="Arial"/>
                <w:color w:val="auto"/>
                <w:sz w:val="22"/>
                <w:szCs w:val="22"/>
              </w:rPr>
              <w:t>It is unlikely that rates achievable from the Council conducting its own tender exercise would match the ESPO MSTAR3 framework rates due to the economies of scale commanded by ESPO w</w:t>
            </w:r>
            <w:r w:rsidRPr="00DE1633">
              <w:rPr>
                <w:rFonts w:cs="Arial"/>
                <w:color w:val="auto"/>
                <w:sz w:val="22"/>
                <w:szCs w:val="22"/>
              </w:rPr>
              <w:t>hen procuring their framework.</w:t>
            </w:r>
          </w:p>
          <w:p w:rsidR="005D5787" w:rsidRDefault="00547BE6" w:rsidP="00B34506">
            <w:pPr>
              <w:rPr>
                <w:rFonts w:cs="Arial"/>
              </w:rPr>
            </w:pPr>
          </w:p>
          <w:p w:rsidR="005D5787" w:rsidRPr="00B34506" w:rsidRDefault="00547BE6" w:rsidP="00B34506">
            <w:pPr>
              <w:jc w:val="both"/>
              <w:rPr>
                <w:rFonts w:ascii="Arial" w:hAnsi="Arial" w:cs="Arial"/>
              </w:rPr>
            </w:pPr>
            <w:r>
              <w:rPr>
                <w:rFonts w:ascii="Arial" w:hAnsi="Arial" w:cs="Arial"/>
              </w:rPr>
              <w:t>As a result of the benchmarking exercise t</w:t>
            </w:r>
            <w:r w:rsidRPr="00D74AD8">
              <w:rPr>
                <w:rFonts w:ascii="Arial" w:hAnsi="Arial" w:cs="Arial"/>
              </w:rPr>
              <w:t xml:space="preserve">he recommended procurement option is to direct award a call-off contract to Matrix SCM Ltd via the Eastern Shires Purchasing </w:t>
            </w:r>
            <w:r>
              <w:rPr>
                <w:rFonts w:ascii="Arial" w:hAnsi="Arial" w:cs="Arial"/>
              </w:rPr>
              <w:t xml:space="preserve">Organisation (ESPO) </w:t>
            </w:r>
            <w:r w:rsidRPr="00524B25">
              <w:rPr>
                <w:rFonts w:ascii="Arial" w:hAnsi="Arial" w:cs="Arial"/>
              </w:rPr>
              <w:t>Managed Services for Temporary Agency</w:t>
            </w:r>
            <w:r w:rsidRPr="00524B25">
              <w:rPr>
                <w:rFonts w:ascii="Arial" w:hAnsi="Arial" w:cs="Arial"/>
              </w:rPr>
              <w:t xml:space="preserve"> Resources framework (MSTAR3)</w:t>
            </w:r>
            <w:r>
              <w:rPr>
                <w:rFonts w:ascii="Arial" w:hAnsi="Arial" w:cs="Arial"/>
              </w:rPr>
              <w:t xml:space="preserve"> framework.</w:t>
            </w:r>
          </w:p>
        </w:tc>
      </w:tr>
    </w:tbl>
    <w:p w:rsidR="00FC5F42" w:rsidRDefault="00547BE6" w:rsidP="006A13DD">
      <w:pPr>
        <w:rPr>
          <w:rFonts w:ascii="Arial" w:hAnsi="Arial" w:cs="Arial"/>
          <w:b/>
          <w:sz w:val="24"/>
          <w:szCs w:val="24"/>
        </w:rPr>
      </w:pPr>
    </w:p>
    <w:p w:rsidR="00FC5F42" w:rsidRDefault="00547BE6">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1C5A32" w:rsidTr="003111D7">
        <w:trPr>
          <w:trHeight w:val="522"/>
        </w:trPr>
        <w:tc>
          <w:tcPr>
            <w:tcW w:w="9016" w:type="dxa"/>
          </w:tcPr>
          <w:p w:rsidR="00FC5F42" w:rsidRPr="004E02A4" w:rsidRDefault="00547BE6" w:rsidP="003111D7">
            <w:pPr>
              <w:rPr>
                <w:rFonts w:ascii="Arial" w:hAnsi="Arial" w:cs="Arial"/>
                <w:b/>
                <w:sz w:val="24"/>
                <w:szCs w:val="24"/>
              </w:rPr>
            </w:pPr>
            <w:r w:rsidRPr="004E02A4">
              <w:rPr>
                <w:rFonts w:ascii="Arial" w:hAnsi="Arial" w:cs="Arial"/>
                <w:b/>
                <w:sz w:val="24"/>
                <w:szCs w:val="24"/>
              </w:rPr>
              <w:t>Procurement Title</w:t>
            </w:r>
          </w:p>
          <w:p w:rsidR="00FC5F42" w:rsidRPr="004E3977" w:rsidRDefault="00547BE6" w:rsidP="003111D7">
            <w:pPr>
              <w:rPr>
                <w:rFonts w:ascii="Arial" w:hAnsi="Arial" w:cs="Arial"/>
                <w:color w:val="FF0000"/>
              </w:rPr>
            </w:pPr>
            <w:r w:rsidRPr="004E3977">
              <w:rPr>
                <w:rFonts w:ascii="Arial" w:hAnsi="Arial" w:cs="Arial"/>
              </w:rPr>
              <w:t>Framework Agreement for Professional and Technical Services</w:t>
            </w:r>
          </w:p>
        </w:tc>
      </w:tr>
      <w:tr w:rsidR="001C5A32" w:rsidTr="003111D7">
        <w:trPr>
          <w:trHeight w:val="511"/>
        </w:trPr>
        <w:tc>
          <w:tcPr>
            <w:tcW w:w="9016" w:type="dxa"/>
          </w:tcPr>
          <w:p w:rsidR="00FC5F42" w:rsidRPr="004E02A4" w:rsidRDefault="00547BE6" w:rsidP="003111D7">
            <w:pPr>
              <w:rPr>
                <w:rFonts w:ascii="Arial" w:hAnsi="Arial" w:cs="Arial"/>
                <w:b/>
                <w:sz w:val="24"/>
                <w:szCs w:val="24"/>
              </w:rPr>
            </w:pPr>
            <w:r w:rsidRPr="004E02A4">
              <w:rPr>
                <w:rFonts w:ascii="Arial" w:hAnsi="Arial" w:cs="Arial"/>
                <w:b/>
                <w:sz w:val="24"/>
                <w:szCs w:val="24"/>
              </w:rPr>
              <w:t>Procurement Option</w:t>
            </w:r>
          </w:p>
          <w:p w:rsidR="00FC5F42" w:rsidRPr="004E3977" w:rsidRDefault="00547BE6" w:rsidP="003111D7">
            <w:pPr>
              <w:rPr>
                <w:rFonts w:ascii="Arial" w:hAnsi="Arial" w:cs="Arial"/>
                <w:color w:val="FF0000"/>
              </w:rPr>
            </w:pPr>
            <w:r w:rsidRPr="004E3977">
              <w:rPr>
                <w:rFonts w:ascii="Arial" w:hAnsi="Arial" w:cs="Arial"/>
              </w:rPr>
              <w:t>OJEU – Open Tender</w:t>
            </w:r>
          </w:p>
        </w:tc>
      </w:tr>
      <w:tr w:rsidR="001C5A32" w:rsidTr="003111D7">
        <w:trPr>
          <w:trHeight w:val="511"/>
        </w:trPr>
        <w:tc>
          <w:tcPr>
            <w:tcW w:w="9016" w:type="dxa"/>
          </w:tcPr>
          <w:p w:rsidR="00FC5F42" w:rsidRPr="004E02A4" w:rsidRDefault="00547BE6" w:rsidP="003111D7">
            <w:pPr>
              <w:rPr>
                <w:rFonts w:ascii="Arial" w:hAnsi="Arial" w:cs="Arial"/>
                <w:b/>
                <w:sz w:val="24"/>
                <w:szCs w:val="24"/>
              </w:rPr>
            </w:pPr>
            <w:r w:rsidRPr="004E02A4">
              <w:rPr>
                <w:rFonts w:ascii="Arial" w:hAnsi="Arial" w:cs="Arial"/>
                <w:b/>
                <w:sz w:val="24"/>
                <w:szCs w:val="24"/>
              </w:rPr>
              <w:t>New or Existing Provision</w:t>
            </w:r>
          </w:p>
          <w:p w:rsidR="00FC5F42" w:rsidRPr="004E3977" w:rsidRDefault="00547BE6" w:rsidP="003111D7">
            <w:pPr>
              <w:rPr>
                <w:rFonts w:ascii="Arial" w:hAnsi="Arial" w:cs="Arial"/>
                <w:color w:val="FF0000"/>
              </w:rPr>
            </w:pPr>
            <w:r w:rsidRPr="004E3977">
              <w:rPr>
                <w:rFonts w:ascii="Arial" w:hAnsi="Arial" w:cs="Arial"/>
              </w:rPr>
              <w:t>Existin</w:t>
            </w:r>
            <w:r>
              <w:rPr>
                <w:rFonts w:ascii="Arial" w:hAnsi="Arial" w:cs="Arial"/>
              </w:rPr>
              <w:t>g – current contract end date 19/05/2021</w:t>
            </w:r>
          </w:p>
        </w:tc>
      </w:tr>
      <w:tr w:rsidR="001C5A32" w:rsidTr="003111D7">
        <w:trPr>
          <w:trHeight w:val="802"/>
        </w:trPr>
        <w:tc>
          <w:tcPr>
            <w:tcW w:w="9016" w:type="dxa"/>
          </w:tcPr>
          <w:p w:rsidR="00FC5F42" w:rsidRPr="004E02A4" w:rsidRDefault="00547BE6" w:rsidP="003111D7">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rsidR="00FC5F42" w:rsidRPr="004E3977" w:rsidRDefault="00547BE6" w:rsidP="003111D7">
            <w:pPr>
              <w:rPr>
                <w:rFonts w:ascii="Arial" w:hAnsi="Arial" w:cs="Arial"/>
              </w:rPr>
            </w:pPr>
            <w:r w:rsidRPr="004E3977">
              <w:rPr>
                <w:rFonts w:ascii="Arial" w:hAnsi="Arial" w:cs="Arial"/>
              </w:rPr>
              <w:t>£2.4 - £3.9 million per annum</w:t>
            </w:r>
            <w:r>
              <w:rPr>
                <w:rFonts w:ascii="Arial" w:hAnsi="Arial" w:cs="Arial"/>
              </w:rPr>
              <w:t>, up to £14.1 million over four years.</w:t>
            </w:r>
            <w:r w:rsidRPr="004E3977">
              <w:rPr>
                <w:rFonts w:ascii="Arial" w:hAnsi="Arial" w:cs="Arial"/>
              </w:rPr>
              <w:t xml:space="preserve"> </w:t>
            </w:r>
          </w:p>
          <w:p w:rsidR="00FC5F42" w:rsidRDefault="00547BE6" w:rsidP="003111D7">
            <w:pPr>
              <w:rPr>
                <w:rFonts w:ascii="Arial" w:hAnsi="Arial" w:cs="Arial"/>
                <w:i/>
                <w:color w:val="FF0000"/>
              </w:rPr>
            </w:pPr>
          </w:p>
          <w:p w:rsidR="00FC5F42" w:rsidRPr="005A75A0" w:rsidRDefault="00547BE6" w:rsidP="003111D7">
            <w:pPr>
              <w:rPr>
                <w:rFonts w:ascii="Arial" w:hAnsi="Arial" w:cs="Arial"/>
                <w:sz w:val="24"/>
                <w:szCs w:val="24"/>
              </w:rPr>
            </w:pPr>
            <w:r>
              <w:rPr>
                <w:rFonts w:ascii="Arial" w:hAnsi="Arial" w:cs="Arial"/>
                <w:iCs/>
              </w:rPr>
              <w:t xml:space="preserve">Funding for commissions will continue to be </w:t>
            </w:r>
            <w:r w:rsidRPr="005A75A0">
              <w:rPr>
                <w:rFonts w:ascii="Arial" w:hAnsi="Arial" w:cs="Arial"/>
                <w:iCs/>
              </w:rPr>
              <w:t>through capital programmes and external grants.</w:t>
            </w:r>
          </w:p>
        </w:tc>
      </w:tr>
      <w:tr w:rsidR="001C5A32" w:rsidTr="003111D7">
        <w:trPr>
          <w:trHeight w:val="802"/>
        </w:trPr>
        <w:tc>
          <w:tcPr>
            <w:tcW w:w="9016" w:type="dxa"/>
          </w:tcPr>
          <w:p w:rsidR="00FC5F42" w:rsidRDefault="00547BE6" w:rsidP="003111D7">
            <w:pPr>
              <w:rPr>
                <w:rFonts w:ascii="Arial" w:hAnsi="Arial" w:cs="Arial"/>
                <w:b/>
                <w:sz w:val="24"/>
                <w:szCs w:val="24"/>
              </w:rPr>
            </w:pPr>
            <w:r>
              <w:rPr>
                <w:rFonts w:ascii="Arial" w:hAnsi="Arial" w:cs="Arial"/>
                <w:b/>
                <w:sz w:val="24"/>
                <w:szCs w:val="24"/>
              </w:rPr>
              <w:t>Contract Duration</w:t>
            </w:r>
          </w:p>
          <w:p w:rsidR="00FC5F42" w:rsidRDefault="00547BE6" w:rsidP="003111D7">
            <w:pPr>
              <w:jc w:val="both"/>
              <w:rPr>
                <w:rFonts w:ascii="Arial" w:hAnsi="Arial" w:cs="Arial"/>
              </w:rPr>
            </w:pPr>
            <w:r>
              <w:rPr>
                <w:rFonts w:ascii="Arial" w:hAnsi="Arial" w:cs="Arial"/>
              </w:rPr>
              <w:t>The i</w:t>
            </w:r>
            <w:r w:rsidRPr="004E3977">
              <w:rPr>
                <w:rFonts w:ascii="Arial" w:hAnsi="Arial" w:cs="Arial"/>
              </w:rPr>
              <w:t xml:space="preserve">nitial period of </w:t>
            </w:r>
            <w:r>
              <w:rPr>
                <w:rFonts w:ascii="Arial" w:hAnsi="Arial" w:cs="Arial"/>
              </w:rPr>
              <w:t>the framework</w:t>
            </w:r>
            <w:r>
              <w:rPr>
                <w:rFonts w:ascii="Arial" w:hAnsi="Arial" w:cs="Arial"/>
              </w:rPr>
              <w:t xml:space="preserve"> will be 36</w:t>
            </w:r>
            <w:r w:rsidRPr="004E3977">
              <w:rPr>
                <w:rFonts w:ascii="Arial" w:hAnsi="Arial" w:cs="Arial"/>
              </w:rPr>
              <w:t xml:space="preserve"> months with </w:t>
            </w:r>
            <w:r>
              <w:rPr>
                <w:rFonts w:ascii="Arial" w:hAnsi="Arial" w:cs="Arial"/>
              </w:rPr>
              <w:t>an option to extend the framework</w:t>
            </w:r>
            <w:r w:rsidRPr="004E3977">
              <w:rPr>
                <w:rFonts w:ascii="Arial" w:hAnsi="Arial" w:cs="Arial"/>
              </w:rPr>
              <w:t xml:space="preserve"> beyond the initial t</w:t>
            </w:r>
            <w:r>
              <w:rPr>
                <w:rFonts w:ascii="Arial" w:hAnsi="Arial" w:cs="Arial"/>
              </w:rPr>
              <w:t>erm to a maximum of a further 12</w:t>
            </w:r>
            <w:r w:rsidRPr="004E3977">
              <w:rPr>
                <w:rFonts w:ascii="Arial" w:hAnsi="Arial" w:cs="Arial"/>
              </w:rPr>
              <w:t xml:space="preserve"> months.</w:t>
            </w:r>
            <w:r>
              <w:rPr>
                <w:rFonts w:ascii="Arial" w:hAnsi="Arial" w:cs="Arial"/>
              </w:rPr>
              <w:t xml:space="preserve"> </w:t>
            </w:r>
          </w:p>
          <w:p w:rsidR="00FC5F42" w:rsidRDefault="00547BE6" w:rsidP="003111D7">
            <w:pPr>
              <w:jc w:val="both"/>
              <w:rPr>
                <w:rFonts w:ascii="Arial" w:hAnsi="Arial" w:cs="Arial"/>
              </w:rPr>
            </w:pPr>
          </w:p>
          <w:p w:rsidR="00FC5F42" w:rsidRPr="004E3977" w:rsidRDefault="00547BE6" w:rsidP="003111D7">
            <w:pPr>
              <w:jc w:val="both"/>
              <w:rPr>
                <w:rFonts w:ascii="Arial" w:hAnsi="Arial" w:cs="Arial"/>
                <w:color w:val="FF0000"/>
              </w:rPr>
            </w:pPr>
            <w:r>
              <w:rPr>
                <w:rFonts w:ascii="Arial" w:hAnsi="Arial" w:cs="Arial"/>
              </w:rPr>
              <w:t>Commissions called-off from the framework will vary in length dependent upon the scope of the individual commission. These may extend b</w:t>
            </w:r>
            <w:r>
              <w:rPr>
                <w:rFonts w:ascii="Arial" w:hAnsi="Arial" w:cs="Arial"/>
              </w:rPr>
              <w:t>eyond the end of the framework term.</w:t>
            </w:r>
          </w:p>
        </w:tc>
      </w:tr>
      <w:tr w:rsidR="001C5A32" w:rsidTr="003111D7">
        <w:trPr>
          <w:trHeight w:val="1546"/>
        </w:trPr>
        <w:tc>
          <w:tcPr>
            <w:tcW w:w="9016" w:type="dxa"/>
          </w:tcPr>
          <w:p w:rsidR="00FC5F42" w:rsidRPr="004E02A4" w:rsidRDefault="00547BE6" w:rsidP="003111D7">
            <w:pPr>
              <w:rPr>
                <w:rFonts w:ascii="Arial" w:hAnsi="Arial" w:cs="Arial"/>
                <w:b/>
                <w:sz w:val="24"/>
                <w:szCs w:val="24"/>
              </w:rPr>
            </w:pPr>
            <w:r w:rsidRPr="004E02A4">
              <w:rPr>
                <w:rFonts w:ascii="Arial" w:hAnsi="Arial" w:cs="Arial"/>
                <w:b/>
                <w:sz w:val="24"/>
                <w:szCs w:val="24"/>
              </w:rPr>
              <w:t>Lotting</w:t>
            </w:r>
          </w:p>
          <w:p w:rsidR="00FC5F42" w:rsidRDefault="00547BE6" w:rsidP="003111D7">
            <w:pPr>
              <w:jc w:val="both"/>
              <w:rPr>
                <w:rFonts w:ascii="Arial" w:hAnsi="Arial" w:cs="Arial"/>
              </w:rPr>
            </w:pPr>
            <w:r>
              <w:rPr>
                <w:rFonts w:ascii="Arial" w:hAnsi="Arial" w:cs="Arial"/>
              </w:rPr>
              <w:t xml:space="preserve">Not applicable. </w:t>
            </w:r>
            <w:r w:rsidRPr="00504B63">
              <w:rPr>
                <w:rFonts w:ascii="Arial" w:hAnsi="Arial" w:cs="Arial"/>
              </w:rPr>
              <w:t xml:space="preserve">As </w:t>
            </w:r>
            <w:r>
              <w:rPr>
                <w:rFonts w:ascii="Arial" w:hAnsi="Arial" w:cs="Arial"/>
              </w:rPr>
              <w:t xml:space="preserve">individual </w:t>
            </w:r>
            <w:r w:rsidRPr="00504B63">
              <w:rPr>
                <w:rFonts w:ascii="Arial" w:hAnsi="Arial" w:cs="Arial"/>
              </w:rPr>
              <w:t xml:space="preserve">commissions </w:t>
            </w:r>
            <w:r>
              <w:rPr>
                <w:rFonts w:ascii="Arial" w:hAnsi="Arial" w:cs="Arial"/>
              </w:rPr>
              <w:t>can</w:t>
            </w:r>
            <w:r w:rsidRPr="00504B63">
              <w:rPr>
                <w:rFonts w:ascii="Arial" w:hAnsi="Arial" w:cs="Arial"/>
              </w:rPr>
              <w:t xml:space="preserve"> potentially reach over a number of different service disciplines, </w:t>
            </w:r>
            <w:r>
              <w:rPr>
                <w:rFonts w:ascii="Arial" w:hAnsi="Arial" w:cs="Arial"/>
              </w:rPr>
              <w:t>lotting by service discipline</w:t>
            </w:r>
            <w:r w:rsidRPr="00504B63">
              <w:rPr>
                <w:rFonts w:ascii="Arial" w:hAnsi="Arial" w:cs="Arial"/>
              </w:rPr>
              <w:t xml:space="preserve"> could restrict the ability of organisations to provide a complete so</w:t>
            </w:r>
            <w:r w:rsidRPr="00504B63">
              <w:rPr>
                <w:rFonts w:ascii="Arial" w:hAnsi="Arial" w:cs="Arial"/>
              </w:rPr>
              <w:t xml:space="preserve">lution. </w:t>
            </w:r>
          </w:p>
          <w:p w:rsidR="00FC5F42" w:rsidRDefault="00547BE6" w:rsidP="003111D7">
            <w:pPr>
              <w:jc w:val="both"/>
              <w:rPr>
                <w:rFonts w:ascii="Arial" w:hAnsi="Arial" w:cs="Arial"/>
              </w:rPr>
            </w:pPr>
          </w:p>
          <w:p w:rsidR="00FC5F42" w:rsidRDefault="00547BE6" w:rsidP="003111D7">
            <w:pPr>
              <w:jc w:val="both"/>
              <w:rPr>
                <w:rFonts w:ascii="Arial" w:hAnsi="Arial" w:cs="Arial"/>
              </w:rPr>
            </w:pPr>
            <w:r>
              <w:rPr>
                <w:rFonts w:ascii="Arial" w:hAnsi="Arial" w:cs="Arial"/>
              </w:rPr>
              <w:t xml:space="preserve">Therefore, a two-consultant </w:t>
            </w:r>
            <w:r w:rsidRPr="00504B63">
              <w:rPr>
                <w:rFonts w:ascii="Arial" w:hAnsi="Arial" w:cs="Arial"/>
              </w:rPr>
              <w:t xml:space="preserve">framework </w:t>
            </w:r>
            <w:r>
              <w:rPr>
                <w:rFonts w:ascii="Arial" w:hAnsi="Arial" w:cs="Arial"/>
              </w:rPr>
              <w:t>with consultants</w:t>
            </w:r>
            <w:r w:rsidRPr="00504B63">
              <w:rPr>
                <w:rFonts w:ascii="Arial" w:hAnsi="Arial" w:cs="Arial"/>
              </w:rPr>
              <w:t xml:space="preserve"> who can cover the full range</w:t>
            </w:r>
            <w:r>
              <w:rPr>
                <w:rFonts w:ascii="Arial" w:hAnsi="Arial" w:cs="Arial"/>
              </w:rPr>
              <w:t xml:space="preserve"> of service disciplines</w:t>
            </w:r>
            <w:r w:rsidRPr="00504B63">
              <w:rPr>
                <w:rFonts w:ascii="Arial" w:hAnsi="Arial" w:cs="Arial"/>
              </w:rPr>
              <w:t xml:space="preserve"> </w:t>
            </w:r>
            <w:r>
              <w:rPr>
                <w:rFonts w:ascii="Arial" w:hAnsi="Arial" w:cs="Arial"/>
              </w:rPr>
              <w:t>is the recommended approach</w:t>
            </w:r>
            <w:r w:rsidRPr="00504B63">
              <w:rPr>
                <w:rFonts w:ascii="Arial" w:hAnsi="Arial" w:cs="Arial"/>
              </w:rPr>
              <w:t xml:space="preserve">. Market analysis indicates a sufficient number of organisations </w:t>
            </w:r>
            <w:r>
              <w:rPr>
                <w:rFonts w:ascii="Arial" w:hAnsi="Arial" w:cs="Arial"/>
              </w:rPr>
              <w:t xml:space="preserve">who </w:t>
            </w:r>
            <w:r w:rsidRPr="00504B63">
              <w:rPr>
                <w:rFonts w:ascii="Arial" w:hAnsi="Arial" w:cs="Arial"/>
              </w:rPr>
              <w:t>can offer the full scope of services reques</w:t>
            </w:r>
            <w:r w:rsidRPr="00504B63">
              <w:rPr>
                <w:rFonts w:ascii="Arial" w:hAnsi="Arial" w:cs="Arial"/>
              </w:rPr>
              <w:t>ted</w:t>
            </w:r>
            <w:r>
              <w:rPr>
                <w:rFonts w:ascii="Arial" w:hAnsi="Arial" w:cs="Arial"/>
              </w:rPr>
              <w:t>.</w:t>
            </w:r>
          </w:p>
          <w:p w:rsidR="00FC5F42" w:rsidRDefault="00547BE6" w:rsidP="003111D7">
            <w:pPr>
              <w:jc w:val="both"/>
              <w:rPr>
                <w:rFonts w:ascii="Arial" w:hAnsi="Arial" w:cs="Arial"/>
              </w:rPr>
            </w:pPr>
          </w:p>
          <w:p w:rsidR="00FC5F42" w:rsidRPr="00504B63" w:rsidRDefault="00547BE6" w:rsidP="003111D7">
            <w:pPr>
              <w:jc w:val="both"/>
              <w:rPr>
                <w:rFonts w:ascii="Arial" w:hAnsi="Arial" w:cs="Arial"/>
                <w:sz w:val="24"/>
                <w:szCs w:val="24"/>
              </w:rPr>
            </w:pPr>
            <w:r>
              <w:rPr>
                <w:rFonts w:ascii="Arial" w:hAnsi="Arial" w:cs="Arial"/>
              </w:rPr>
              <w:t>SMEs will have the opportunity to submit consortium or joint venture bids with other suppliers should they not be able to cover all service disciplines themselves.</w:t>
            </w:r>
          </w:p>
        </w:tc>
      </w:tr>
      <w:tr w:rsidR="001C5A32" w:rsidTr="003111D7">
        <w:trPr>
          <w:trHeight w:val="1322"/>
        </w:trPr>
        <w:tc>
          <w:tcPr>
            <w:tcW w:w="9016" w:type="dxa"/>
            <w:vAlign w:val="center"/>
          </w:tcPr>
          <w:p w:rsidR="00FC5F42" w:rsidRDefault="00547BE6" w:rsidP="003111D7">
            <w:pPr>
              <w:rPr>
                <w:rFonts w:ascii="Arial" w:hAnsi="Arial" w:cs="Arial"/>
                <w:b/>
                <w:sz w:val="24"/>
                <w:szCs w:val="24"/>
              </w:rPr>
            </w:pPr>
            <w:r w:rsidRPr="004E02A4">
              <w:rPr>
                <w:rFonts w:ascii="Arial" w:hAnsi="Arial" w:cs="Arial"/>
                <w:b/>
                <w:sz w:val="24"/>
                <w:szCs w:val="24"/>
              </w:rPr>
              <w:t>Evaluation</w:t>
            </w:r>
          </w:p>
          <w:p w:rsidR="00FC5F42" w:rsidRPr="00817CE0" w:rsidRDefault="00547BE6" w:rsidP="003111D7">
            <w:pPr>
              <w:rPr>
                <w:rFonts w:ascii="Arial" w:hAnsi="Arial" w:cs="Arial"/>
                <w:b/>
                <w:sz w:val="24"/>
                <w:szCs w:val="24"/>
              </w:rPr>
            </w:pPr>
          </w:p>
          <w:tbl>
            <w:tblPr>
              <w:tblStyle w:val="TableGrid"/>
              <w:tblW w:w="0" w:type="auto"/>
              <w:tblLook w:val="04A0" w:firstRow="1" w:lastRow="0" w:firstColumn="1" w:lastColumn="0" w:noHBand="0" w:noVBand="1"/>
            </w:tblPr>
            <w:tblGrid>
              <w:gridCol w:w="4295"/>
              <w:gridCol w:w="4426"/>
            </w:tblGrid>
            <w:tr w:rsidR="001C5A32" w:rsidTr="003111D7">
              <w:trPr>
                <w:trHeight w:val="336"/>
              </w:trPr>
              <w:tc>
                <w:tcPr>
                  <w:tcW w:w="8721" w:type="dxa"/>
                  <w:gridSpan w:val="2"/>
                  <w:vAlign w:val="center"/>
                </w:tcPr>
                <w:p w:rsidR="00FC5F42" w:rsidRPr="00817CE0" w:rsidRDefault="00547BE6" w:rsidP="00DE41E7">
                  <w:pPr>
                    <w:framePr w:hSpace="180" w:wrap="around" w:vAnchor="page" w:hAnchor="margin" w:y="1613"/>
                    <w:rPr>
                      <w:rFonts w:ascii="Arial-BoldMT" w:hAnsi="Arial-BoldMT" w:cs="Arial-BoldMT"/>
                      <w:b/>
                      <w:bCs/>
                      <w:szCs w:val="24"/>
                    </w:rPr>
                  </w:pPr>
                  <w:r w:rsidRPr="00817CE0">
                    <w:rPr>
                      <w:rFonts w:ascii="Arial-BoldMT" w:hAnsi="Arial-BoldMT" w:cs="Arial-BoldMT"/>
                      <w:b/>
                      <w:bCs/>
                      <w:szCs w:val="24"/>
                    </w:rPr>
                    <w:t>Framework evaluation</w:t>
                  </w:r>
                </w:p>
              </w:tc>
            </w:tr>
            <w:tr w:rsidR="001C5A32" w:rsidTr="003111D7">
              <w:trPr>
                <w:trHeight w:val="336"/>
              </w:trPr>
              <w:tc>
                <w:tcPr>
                  <w:tcW w:w="4295" w:type="dxa"/>
                  <w:vAlign w:val="center"/>
                </w:tcPr>
                <w:p w:rsidR="00FC5F42" w:rsidRPr="00817CE0" w:rsidRDefault="00547BE6" w:rsidP="00DE41E7">
                  <w:pPr>
                    <w:framePr w:hSpace="180" w:wrap="around" w:vAnchor="page" w:hAnchor="margin" w:y="1613"/>
                  </w:pPr>
                  <w:r w:rsidRPr="00817CE0">
                    <w:rPr>
                      <w:rFonts w:ascii="Arial-BoldMT" w:hAnsi="Arial-BoldMT" w:cs="Arial-BoldMT"/>
                      <w:bCs/>
                      <w:szCs w:val="24"/>
                    </w:rPr>
                    <w:t>Quality Criteria</w:t>
                  </w:r>
                  <w:r>
                    <w:rPr>
                      <w:rFonts w:ascii="Arial-BoldMT" w:hAnsi="Arial-BoldMT" w:cs="Arial-BoldMT"/>
                      <w:bCs/>
                      <w:szCs w:val="24"/>
                    </w:rPr>
                    <w:t>:</w:t>
                  </w:r>
                  <w:r w:rsidRPr="00817CE0">
                    <w:rPr>
                      <w:rFonts w:ascii="Arial-BoldMT" w:hAnsi="Arial-BoldMT" w:cs="Arial-BoldMT"/>
                      <w:bCs/>
                      <w:szCs w:val="24"/>
                    </w:rPr>
                    <w:t xml:space="preserve"> </w:t>
                  </w:r>
                  <w:r>
                    <w:rPr>
                      <w:rFonts w:ascii="Arial-BoldMT" w:hAnsi="Arial-BoldMT" w:cs="Arial-BoldMT"/>
                      <w:bCs/>
                      <w:szCs w:val="24"/>
                    </w:rPr>
                    <w:t>50</w:t>
                  </w:r>
                  <w:r w:rsidRPr="00817CE0">
                    <w:rPr>
                      <w:rFonts w:ascii="Arial-BoldMT" w:hAnsi="Arial-BoldMT" w:cs="Arial-BoldMT"/>
                      <w:bCs/>
                      <w:szCs w:val="24"/>
                    </w:rPr>
                    <w:t>%</w:t>
                  </w:r>
                </w:p>
              </w:tc>
              <w:tc>
                <w:tcPr>
                  <w:tcW w:w="4426" w:type="dxa"/>
                  <w:vAlign w:val="center"/>
                </w:tcPr>
                <w:p w:rsidR="00FC5F42" w:rsidRPr="00817CE0" w:rsidRDefault="00547BE6" w:rsidP="00DE41E7">
                  <w:pPr>
                    <w:framePr w:hSpace="180" w:wrap="around" w:vAnchor="page" w:hAnchor="margin" w:y="1613"/>
                  </w:pPr>
                  <w:r w:rsidRPr="00817CE0">
                    <w:rPr>
                      <w:rFonts w:ascii="Arial-BoldMT" w:hAnsi="Arial-BoldMT" w:cs="Arial-BoldMT"/>
                      <w:bCs/>
                      <w:szCs w:val="24"/>
                    </w:rPr>
                    <w:t>Financial Criteria</w:t>
                  </w:r>
                  <w:r>
                    <w:rPr>
                      <w:rFonts w:ascii="Arial-BoldMT" w:hAnsi="Arial-BoldMT" w:cs="Arial-BoldMT"/>
                      <w:bCs/>
                      <w:szCs w:val="24"/>
                    </w:rPr>
                    <w:t>:</w:t>
                  </w:r>
                  <w:r w:rsidRPr="00817CE0">
                    <w:rPr>
                      <w:rFonts w:ascii="Arial-BoldMT" w:hAnsi="Arial-BoldMT" w:cs="Arial-BoldMT"/>
                      <w:bCs/>
                      <w:szCs w:val="24"/>
                    </w:rPr>
                    <w:t xml:space="preserve"> 50%</w:t>
                  </w:r>
                </w:p>
              </w:tc>
            </w:tr>
            <w:tr w:rsidR="001C5A32" w:rsidTr="003111D7">
              <w:trPr>
                <w:trHeight w:val="336"/>
              </w:trPr>
              <w:tc>
                <w:tcPr>
                  <w:tcW w:w="8721" w:type="dxa"/>
                  <w:gridSpan w:val="2"/>
                  <w:vAlign w:val="center"/>
                </w:tcPr>
                <w:p w:rsidR="00FC5F42" w:rsidRDefault="00547BE6" w:rsidP="00DE41E7">
                  <w:pPr>
                    <w:framePr w:hSpace="180" w:wrap="around" w:vAnchor="page" w:hAnchor="margin" w:y="1613"/>
                    <w:jc w:val="both"/>
                    <w:rPr>
                      <w:rFonts w:ascii="Arial-BoldMT" w:hAnsi="Arial-BoldMT" w:cs="Arial-BoldMT"/>
                      <w:bCs/>
                      <w:szCs w:val="24"/>
                    </w:rPr>
                  </w:pPr>
                  <w:r>
                    <w:rPr>
                      <w:rFonts w:ascii="Arial-BoldMT" w:hAnsi="Arial-BoldMT" w:cs="Arial-BoldMT"/>
                      <w:bCs/>
                      <w:szCs w:val="24"/>
                    </w:rPr>
                    <w:t xml:space="preserve">Social Value will account for 5% of quality criteria, and will target </w:t>
                  </w:r>
                  <w:r>
                    <w:t xml:space="preserve"> </w:t>
                  </w:r>
                  <w:r>
                    <w:rPr>
                      <w:rFonts w:ascii="Arial-BoldMT" w:hAnsi="Arial-BoldMT" w:cs="Arial-BoldMT"/>
                      <w:bCs/>
                      <w:szCs w:val="24"/>
                    </w:rPr>
                    <w:t>the objectives of:</w:t>
                  </w:r>
                </w:p>
                <w:p w:rsidR="00FC5F42" w:rsidRDefault="00547BE6" w:rsidP="00DE41E7">
                  <w:pPr>
                    <w:pStyle w:val="ListParagraph"/>
                    <w:framePr w:hSpace="180" w:wrap="around" w:vAnchor="page" w:hAnchor="margin" w:y="1613"/>
                    <w:numPr>
                      <w:ilvl w:val="0"/>
                      <w:numId w:val="6"/>
                    </w:numPr>
                    <w:autoSpaceDE/>
                    <w:autoSpaceDN/>
                    <w:adjustRightInd/>
                    <w:spacing w:after="0"/>
                    <w:rPr>
                      <w:rFonts w:ascii="Arial-BoldMT" w:hAnsi="Arial-BoldMT" w:cs="Arial-BoldMT"/>
                      <w:bCs/>
                    </w:rPr>
                  </w:pPr>
                  <w:r w:rsidRPr="006344B8">
                    <w:rPr>
                      <w:rFonts w:ascii="Arial-BoldMT" w:hAnsi="Arial-BoldMT" w:cs="Arial-BoldMT"/>
                      <w:bCs/>
                    </w:rPr>
                    <w:t>Promoting training and employment opportunities for local people</w:t>
                  </w:r>
                </w:p>
                <w:p w:rsidR="00FC5F42" w:rsidRPr="006344B8" w:rsidRDefault="00547BE6" w:rsidP="00DE41E7">
                  <w:pPr>
                    <w:pStyle w:val="ListParagraph"/>
                    <w:framePr w:hSpace="180" w:wrap="around" w:vAnchor="page" w:hAnchor="margin" w:y="1613"/>
                    <w:numPr>
                      <w:ilvl w:val="0"/>
                      <w:numId w:val="6"/>
                    </w:numPr>
                    <w:autoSpaceDE/>
                    <w:autoSpaceDN/>
                    <w:adjustRightInd/>
                    <w:spacing w:after="0"/>
                    <w:rPr>
                      <w:rFonts w:ascii="Arial-BoldMT" w:hAnsi="Arial-BoldMT" w:cs="Arial-BoldMT"/>
                      <w:bCs/>
                    </w:rPr>
                  </w:pPr>
                  <w:r w:rsidRPr="006344B8">
                    <w:rPr>
                      <w:rFonts w:ascii="Arial-BoldMT" w:hAnsi="Arial-BoldMT" w:cs="Arial-BoldMT"/>
                      <w:bCs/>
                    </w:rPr>
                    <w:t>Promote environmental sustainability</w:t>
                  </w:r>
                </w:p>
              </w:tc>
            </w:tr>
          </w:tbl>
          <w:p w:rsidR="00FC5F42" w:rsidRDefault="00547BE6" w:rsidP="003111D7">
            <w:pPr>
              <w:rPr>
                <w:rFonts w:ascii="Arial" w:hAnsi="Arial" w:cs="Arial"/>
                <w:i/>
                <w:color w:val="FF0000"/>
                <w:sz w:val="24"/>
                <w:szCs w:val="24"/>
              </w:rPr>
            </w:pPr>
          </w:p>
          <w:tbl>
            <w:tblPr>
              <w:tblStyle w:val="TableGrid"/>
              <w:tblW w:w="0" w:type="auto"/>
              <w:tblLook w:val="04A0" w:firstRow="1" w:lastRow="0" w:firstColumn="1" w:lastColumn="0" w:noHBand="0" w:noVBand="1"/>
            </w:tblPr>
            <w:tblGrid>
              <w:gridCol w:w="4295"/>
              <w:gridCol w:w="4426"/>
            </w:tblGrid>
            <w:tr w:rsidR="001C5A32" w:rsidTr="003111D7">
              <w:trPr>
                <w:trHeight w:val="261"/>
              </w:trPr>
              <w:tc>
                <w:tcPr>
                  <w:tcW w:w="8721" w:type="dxa"/>
                  <w:gridSpan w:val="2"/>
                  <w:vAlign w:val="center"/>
                </w:tcPr>
                <w:p w:rsidR="00FC5F42" w:rsidRPr="00817CE0" w:rsidRDefault="00547BE6" w:rsidP="00DE41E7">
                  <w:pPr>
                    <w:framePr w:hSpace="180" w:wrap="around" w:vAnchor="page" w:hAnchor="margin" w:y="1613"/>
                    <w:rPr>
                      <w:rFonts w:ascii="Arial-BoldMT" w:hAnsi="Arial-BoldMT" w:cs="Arial-BoldMT"/>
                      <w:b/>
                      <w:bCs/>
                      <w:szCs w:val="24"/>
                    </w:rPr>
                  </w:pPr>
                  <w:r>
                    <w:rPr>
                      <w:rFonts w:ascii="Arial-BoldMT" w:hAnsi="Arial-BoldMT" w:cs="Arial-BoldMT"/>
                      <w:b/>
                      <w:bCs/>
                      <w:szCs w:val="24"/>
                    </w:rPr>
                    <w:t>Individual commission</w:t>
                  </w:r>
                  <w:r w:rsidRPr="00817CE0">
                    <w:rPr>
                      <w:rFonts w:ascii="Arial-BoldMT" w:hAnsi="Arial-BoldMT" w:cs="Arial-BoldMT"/>
                      <w:b/>
                      <w:bCs/>
                      <w:szCs w:val="24"/>
                    </w:rPr>
                    <w:t xml:space="preserve"> evaluation</w:t>
                  </w:r>
                  <w:r>
                    <w:rPr>
                      <w:rFonts w:ascii="Arial-BoldMT" w:hAnsi="Arial-BoldMT" w:cs="Arial-BoldMT"/>
                      <w:b/>
                      <w:bCs/>
                      <w:szCs w:val="24"/>
                    </w:rPr>
                    <w:t xml:space="preserve"> (mini competitions)</w:t>
                  </w:r>
                </w:p>
              </w:tc>
            </w:tr>
            <w:tr w:rsidR="001C5A32" w:rsidTr="003111D7">
              <w:trPr>
                <w:trHeight w:val="261"/>
              </w:trPr>
              <w:tc>
                <w:tcPr>
                  <w:tcW w:w="4295" w:type="dxa"/>
                  <w:vAlign w:val="center"/>
                </w:tcPr>
                <w:p w:rsidR="00FC5F42" w:rsidRPr="00817CE0" w:rsidRDefault="00547BE6" w:rsidP="00DE41E7">
                  <w:pPr>
                    <w:framePr w:hSpace="180" w:wrap="around" w:vAnchor="page" w:hAnchor="margin" w:y="1613"/>
                  </w:pPr>
                  <w:r w:rsidRPr="00817CE0">
                    <w:rPr>
                      <w:rFonts w:ascii="Arial-BoldMT" w:hAnsi="Arial-BoldMT" w:cs="Arial-BoldMT"/>
                      <w:bCs/>
                      <w:szCs w:val="24"/>
                    </w:rPr>
                    <w:t xml:space="preserve">Quality </w:t>
                  </w:r>
                  <w:r w:rsidRPr="00817CE0">
                    <w:rPr>
                      <w:rFonts w:ascii="Arial-BoldMT" w:hAnsi="Arial-BoldMT" w:cs="Arial-BoldMT"/>
                      <w:bCs/>
                      <w:szCs w:val="24"/>
                    </w:rPr>
                    <w:t>Criteria</w:t>
                  </w:r>
                  <w:r>
                    <w:rPr>
                      <w:rFonts w:ascii="Arial-BoldMT" w:hAnsi="Arial-BoldMT" w:cs="Arial-BoldMT"/>
                      <w:bCs/>
                      <w:szCs w:val="24"/>
                    </w:rPr>
                    <w:t>:</w:t>
                  </w:r>
                  <w:r w:rsidRPr="00817CE0">
                    <w:rPr>
                      <w:rFonts w:ascii="Arial-BoldMT" w:hAnsi="Arial-BoldMT" w:cs="Arial-BoldMT"/>
                      <w:bCs/>
                      <w:szCs w:val="24"/>
                    </w:rPr>
                    <w:t xml:space="preserve"> </w:t>
                  </w:r>
                  <w:r>
                    <w:rPr>
                      <w:rFonts w:ascii="Arial-BoldMT" w:hAnsi="Arial-BoldMT" w:cs="Arial-BoldMT"/>
                      <w:bCs/>
                      <w:szCs w:val="24"/>
                    </w:rPr>
                    <w:t>0-10</w:t>
                  </w:r>
                  <w:r w:rsidRPr="00817CE0">
                    <w:rPr>
                      <w:rFonts w:ascii="Arial-BoldMT" w:hAnsi="Arial-BoldMT" w:cs="Arial-BoldMT"/>
                      <w:bCs/>
                      <w:szCs w:val="24"/>
                    </w:rPr>
                    <w:t>0%</w:t>
                  </w:r>
                </w:p>
              </w:tc>
              <w:tc>
                <w:tcPr>
                  <w:tcW w:w="4426" w:type="dxa"/>
                  <w:vAlign w:val="center"/>
                </w:tcPr>
                <w:p w:rsidR="00FC5F42" w:rsidRPr="00817CE0" w:rsidRDefault="00547BE6" w:rsidP="00DE41E7">
                  <w:pPr>
                    <w:framePr w:hSpace="180" w:wrap="around" w:vAnchor="page" w:hAnchor="margin" w:y="1613"/>
                  </w:pPr>
                  <w:r w:rsidRPr="00817CE0">
                    <w:rPr>
                      <w:rFonts w:ascii="Arial-BoldMT" w:hAnsi="Arial-BoldMT" w:cs="Arial-BoldMT"/>
                      <w:bCs/>
                      <w:szCs w:val="24"/>
                    </w:rPr>
                    <w:t>Financial Criteria</w:t>
                  </w:r>
                  <w:r>
                    <w:rPr>
                      <w:rFonts w:ascii="Arial-BoldMT" w:hAnsi="Arial-BoldMT" w:cs="Arial-BoldMT"/>
                      <w:bCs/>
                      <w:szCs w:val="24"/>
                    </w:rPr>
                    <w:t>:</w:t>
                  </w:r>
                  <w:r w:rsidRPr="00817CE0">
                    <w:rPr>
                      <w:rFonts w:ascii="Arial-BoldMT" w:hAnsi="Arial-BoldMT" w:cs="Arial-BoldMT"/>
                      <w:bCs/>
                      <w:szCs w:val="24"/>
                    </w:rPr>
                    <w:t xml:space="preserve"> </w:t>
                  </w:r>
                  <w:r>
                    <w:rPr>
                      <w:rFonts w:ascii="Arial-BoldMT" w:hAnsi="Arial-BoldMT" w:cs="Arial-BoldMT"/>
                      <w:bCs/>
                      <w:szCs w:val="24"/>
                    </w:rPr>
                    <w:t>0-10</w:t>
                  </w:r>
                  <w:r w:rsidRPr="00817CE0">
                    <w:rPr>
                      <w:rFonts w:ascii="Arial-BoldMT" w:hAnsi="Arial-BoldMT" w:cs="Arial-BoldMT"/>
                      <w:bCs/>
                      <w:szCs w:val="24"/>
                    </w:rPr>
                    <w:t>0%</w:t>
                  </w:r>
                </w:p>
              </w:tc>
            </w:tr>
            <w:tr w:rsidR="001C5A32" w:rsidTr="003111D7">
              <w:trPr>
                <w:trHeight w:val="261"/>
              </w:trPr>
              <w:tc>
                <w:tcPr>
                  <w:tcW w:w="8721" w:type="dxa"/>
                  <w:gridSpan w:val="2"/>
                  <w:vAlign w:val="center"/>
                </w:tcPr>
                <w:p w:rsidR="00FC5F42" w:rsidRPr="00817CE0" w:rsidRDefault="00547BE6" w:rsidP="00DE41E7">
                  <w:pPr>
                    <w:framePr w:hSpace="180" w:wrap="around" w:vAnchor="page" w:hAnchor="margin" w:y="1613"/>
                    <w:jc w:val="both"/>
                    <w:rPr>
                      <w:rFonts w:ascii="Arial-BoldMT" w:hAnsi="Arial-BoldMT" w:cs="Arial-BoldMT"/>
                      <w:bCs/>
                      <w:szCs w:val="24"/>
                    </w:rPr>
                  </w:pPr>
                  <w:r>
                    <w:rPr>
                      <w:rFonts w:ascii="Arial-BoldMT" w:hAnsi="Arial-BoldMT" w:cs="Arial-BoldMT"/>
                      <w:bCs/>
                      <w:szCs w:val="24"/>
                    </w:rPr>
                    <w:t xml:space="preserve">Individual commissions that are competed as mini competitions between the two consultants will include quality and financial criteria set at the time of competition, and </w:t>
                  </w:r>
                  <w:r w:rsidRPr="001F6AE3">
                    <w:rPr>
                      <w:rFonts w:ascii="Arial-BoldMT" w:hAnsi="Arial-BoldMT" w:cs="Arial-BoldMT"/>
                      <w:bCs/>
                      <w:szCs w:val="24"/>
                    </w:rPr>
                    <w:t xml:space="preserve">may </w:t>
                  </w:r>
                  <w:r>
                    <w:rPr>
                      <w:rFonts w:ascii="Arial-BoldMT" w:hAnsi="Arial-BoldMT" w:cs="Arial-BoldMT"/>
                      <w:bCs/>
                      <w:szCs w:val="24"/>
                    </w:rPr>
                    <w:t>range from 100% quality to</w:t>
                  </w:r>
                  <w:r w:rsidRPr="001F6AE3">
                    <w:rPr>
                      <w:rFonts w:ascii="Arial-BoldMT" w:hAnsi="Arial-BoldMT" w:cs="Arial-BoldMT"/>
                      <w:bCs/>
                      <w:szCs w:val="24"/>
                    </w:rPr>
                    <w:t xml:space="preserve"> 100% on price</w:t>
                  </w:r>
                  <w:r>
                    <w:rPr>
                      <w:rFonts w:ascii="Arial-BoldMT" w:hAnsi="Arial-BoldMT" w:cs="Arial-BoldMT"/>
                      <w:bCs/>
                      <w:szCs w:val="24"/>
                    </w:rPr>
                    <w:t xml:space="preserve"> depending on the nature and scope of the commission</w:t>
                  </w:r>
                  <w:r w:rsidRPr="001F6AE3">
                    <w:rPr>
                      <w:rFonts w:ascii="Arial-BoldMT" w:hAnsi="Arial-BoldMT" w:cs="Arial-BoldMT"/>
                      <w:bCs/>
                      <w:szCs w:val="24"/>
                    </w:rPr>
                    <w:t>.</w:t>
                  </w:r>
                </w:p>
              </w:tc>
            </w:tr>
          </w:tbl>
          <w:p w:rsidR="00FC5F42" w:rsidRPr="00E71D63" w:rsidRDefault="00547BE6" w:rsidP="003111D7">
            <w:pPr>
              <w:rPr>
                <w:rFonts w:ascii="Arial" w:hAnsi="Arial" w:cs="Arial"/>
                <w:i/>
                <w:color w:val="FF0000"/>
                <w:sz w:val="24"/>
                <w:szCs w:val="24"/>
              </w:rPr>
            </w:pPr>
          </w:p>
        </w:tc>
      </w:tr>
      <w:tr w:rsidR="001C5A32" w:rsidTr="003111D7">
        <w:trPr>
          <w:trHeight w:val="1550"/>
        </w:trPr>
        <w:tc>
          <w:tcPr>
            <w:tcW w:w="9016" w:type="dxa"/>
          </w:tcPr>
          <w:p w:rsidR="00FC5F42" w:rsidRPr="004E02A4" w:rsidRDefault="00547BE6" w:rsidP="003111D7">
            <w:pPr>
              <w:jc w:val="both"/>
              <w:rPr>
                <w:rFonts w:ascii="Arial" w:hAnsi="Arial" w:cs="Arial"/>
                <w:b/>
                <w:sz w:val="24"/>
                <w:szCs w:val="24"/>
              </w:rPr>
            </w:pPr>
            <w:r w:rsidRPr="004E02A4">
              <w:rPr>
                <w:rFonts w:ascii="Arial" w:hAnsi="Arial" w:cs="Arial"/>
                <w:b/>
                <w:sz w:val="24"/>
                <w:szCs w:val="24"/>
              </w:rPr>
              <w:t>Contract Detail</w:t>
            </w:r>
          </w:p>
          <w:p w:rsidR="00FC5F42" w:rsidRDefault="00547BE6" w:rsidP="003111D7">
            <w:pPr>
              <w:jc w:val="both"/>
              <w:rPr>
                <w:rFonts w:ascii="Arial" w:hAnsi="Arial" w:cs="Arial"/>
              </w:rPr>
            </w:pPr>
            <w:r>
              <w:rPr>
                <w:rFonts w:ascii="Arial" w:hAnsi="Arial" w:cs="Arial"/>
              </w:rPr>
              <w:t xml:space="preserve">The </w:t>
            </w:r>
            <w:r w:rsidRPr="00F33CAF">
              <w:rPr>
                <w:rFonts w:ascii="Arial" w:hAnsi="Arial" w:cs="Arial"/>
              </w:rPr>
              <w:t>Council has operated a framework agreement fo</w:t>
            </w:r>
            <w:r>
              <w:rPr>
                <w:rFonts w:ascii="Arial" w:hAnsi="Arial" w:cs="Arial"/>
              </w:rPr>
              <w:t xml:space="preserve">r the provision of professional and </w:t>
            </w:r>
            <w:r w:rsidRPr="00F33CAF">
              <w:rPr>
                <w:rFonts w:ascii="Arial" w:hAnsi="Arial" w:cs="Arial"/>
              </w:rPr>
              <w:t xml:space="preserve">technical highway related </w:t>
            </w:r>
            <w:r>
              <w:rPr>
                <w:rFonts w:ascii="Arial" w:hAnsi="Arial" w:cs="Arial"/>
              </w:rPr>
              <w:t xml:space="preserve">services for a number of years, the most recent </w:t>
            </w:r>
            <w:r w:rsidRPr="00F33CAF">
              <w:rPr>
                <w:rFonts w:ascii="Arial" w:hAnsi="Arial" w:cs="Arial"/>
              </w:rPr>
              <w:t xml:space="preserve">framework </w:t>
            </w:r>
            <w:r>
              <w:rPr>
                <w:rFonts w:ascii="Arial" w:hAnsi="Arial" w:cs="Arial"/>
              </w:rPr>
              <w:t xml:space="preserve">covering the period </w:t>
            </w:r>
            <w:r w:rsidRPr="00F33CAF">
              <w:rPr>
                <w:rFonts w:ascii="Arial" w:hAnsi="Arial" w:cs="Arial"/>
              </w:rPr>
              <w:t>20 May 2017 until 19 May 202</w:t>
            </w:r>
            <w:r>
              <w:rPr>
                <w:rFonts w:ascii="Arial" w:hAnsi="Arial" w:cs="Arial"/>
              </w:rPr>
              <w:t xml:space="preserve">1. </w:t>
            </w:r>
          </w:p>
          <w:p w:rsidR="00FC5F42" w:rsidRDefault="00547BE6" w:rsidP="003111D7">
            <w:pPr>
              <w:jc w:val="both"/>
              <w:rPr>
                <w:rFonts w:ascii="Arial" w:hAnsi="Arial" w:cs="Arial"/>
              </w:rPr>
            </w:pPr>
          </w:p>
          <w:p w:rsidR="00FC5F42" w:rsidRPr="00F33CAF" w:rsidRDefault="00547BE6" w:rsidP="003111D7">
            <w:pPr>
              <w:jc w:val="both"/>
              <w:rPr>
                <w:rFonts w:ascii="Arial" w:hAnsi="Arial" w:cs="Arial"/>
              </w:rPr>
            </w:pPr>
            <w:r>
              <w:rPr>
                <w:rFonts w:ascii="Arial" w:hAnsi="Arial" w:cs="Arial"/>
              </w:rPr>
              <w:t>A new framework is required to replace the current framework upon expiry.</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sidRPr="00F33CAF">
              <w:rPr>
                <w:rFonts w:ascii="Arial" w:hAnsi="Arial" w:cs="Arial"/>
              </w:rPr>
              <w:t xml:space="preserve">The overarching strategic aims of the framework are to: </w:t>
            </w:r>
          </w:p>
          <w:p w:rsidR="00FC5F42" w:rsidRDefault="00547BE6" w:rsidP="00FC5F42">
            <w:pPr>
              <w:pStyle w:val="ListParagraph"/>
              <w:numPr>
                <w:ilvl w:val="0"/>
                <w:numId w:val="6"/>
              </w:numPr>
              <w:autoSpaceDE/>
              <w:autoSpaceDN/>
              <w:adjustRightInd/>
              <w:spacing w:after="0"/>
              <w:rPr>
                <w:rFonts w:cs="Arial"/>
              </w:rPr>
            </w:pPr>
            <w:r w:rsidRPr="00F33CAF">
              <w:rPr>
                <w:rFonts w:cs="Arial"/>
              </w:rPr>
              <w:t>improve the ways in which contracts are administered</w:t>
            </w:r>
            <w:r>
              <w:rPr>
                <w:rFonts w:cs="Arial"/>
              </w:rPr>
              <w:t>;</w:t>
            </w:r>
          </w:p>
          <w:p w:rsidR="00FC5F42" w:rsidRDefault="00547BE6" w:rsidP="00FC5F42">
            <w:pPr>
              <w:pStyle w:val="ListParagraph"/>
              <w:numPr>
                <w:ilvl w:val="0"/>
                <w:numId w:val="6"/>
              </w:numPr>
              <w:autoSpaceDE/>
              <w:autoSpaceDN/>
              <w:adjustRightInd/>
              <w:spacing w:after="0"/>
              <w:rPr>
                <w:rFonts w:cs="Arial"/>
              </w:rPr>
            </w:pPr>
            <w:r w:rsidRPr="00F33CAF">
              <w:rPr>
                <w:rFonts w:cs="Arial"/>
              </w:rPr>
              <w:t>to access technic</w:t>
            </w:r>
            <w:r w:rsidRPr="00F33CAF">
              <w:rPr>
                <w:rFonts w:cs="Arial"/>
              </w:rPr>
              <w:t>al e</w:t>
            </w:r>
            <w:r>
              <w:rPr>
                <w:rFonts w:cs="Arial"/>
              </w:rPr>
              <w:t>xpertise not currently in-house;</w:t>
            </w:r>
          </w:p>
          <w:p w:rsidR="00FC5F42" w:rsidRDefault="00547BE6" w:rsidP="00FC5F42">
            <w:pPr>
              <w:pStyle w:val="ListParagraph"/>
              <w:numPr>
                <w:ilvl w:val="0"/>
                <w:numId w:val="6"/>
              </w:numPr>
              <w:autoSpaceDE/>
              <w:autoSpaceDN/>
              <w:adjustRightInd/>
              <w:spacing w:after="0"/>
              <w:rPr>
                <w:rFonts w:cs="Arial"/>
              </w:rPr>
            </w:pPr>
            <w:r w:rsidRPr="00F33CAF">
              <w:rPr>
                <w:rFonts w:cs="Arial"/>
              </w:rPr>
              <w:t>provide economic, efficient and effective service delivery to clients</w:t>
            </w:r>
            <w:r>
              <w:rPr>
                <w:rFonts w:cs="Arial"/>
              </w:rPr>
              <w:t>;</w:t>
            </w:r>
          </w:p>
          <w:p w:rsidR="00FC5F42" w:rsidRDefault="00547BE6" w:rsidP="00FC5F42">
            <w:pPr>
              <w:pStyle w:val="ListParagraph"/>
              <w:numPr>
                <w:ilvl w:val="0"/>
                <w:numId w:val="6"/>
              </w:numPr>
              <w:autoSpaceDE/>
              <w:autoSpaceDN/>
              <w:adjustRightInd/>
              <w:spacing w:after="0"/>
              <w:rPr>
                <w:rFonts w:cs="Arial"/>
              </w:rPr>
            </w:pPr>
            <w:r w:rsidRPr="00F33CAF">
              <w:rPr>
                <w:rFonts w:cs="Arial"/>
              </w:rPr>
              <w:t>improve the standards of project delivery</w:t>
            </w:r>
            <w:r>
              <w:rPr>
                <w:rFonts w:cs="Arial"/>
              </w:rPr>
              <w:t>;</w:t>
            </w:r>
          </w:p>
          <w:p w:rsidR="00FC5F42" w:rsidRDefault="00547BE6" w:rsidP="00FC5F42">
            <w:pPr>
              <w:pStyle w:val="ListParagraph"/>
              <w:numPr>
                <w:ilvl w:val="0"/>
                <w:numId w:val="6"/>
              </w:numPr>
              <w:autoSpaceDE/>
              <w:autoSpaceDN/>
              <w:adjustRightInd/>
              <w:spacing w:after="0"/>
              <w:rPr>
                <w:rFonts w:cs="Arial"/>
              </w:rPr>
            </w:pPr>
            <w:r w:rsidRPr="00F33CAF">
              <w:rPr>
                <w:rFonts w:cs="Arial"/>
              </w:rPr>
              <w:t>achieve hi</w:t>
            </w:r>
            <w:r>
              <w:rPr>
                <w:rFonts w:cs="Arial"/>
              </w:rPr>
              <w:t>gh quality standards;</w:t>
            </w:r>
          </w:p>
          <w:p w:rsidR="00FC5F42" w:rsidRDefault="00547BE6" w:rsidP="00FC5F42">
            <w:pPr>
              <w:pStyle w:val="ListParagraph"/>
              <w:numPr>
                <w:ilvl w:val="0"/>
                <w:numId w:val="6"/>
              </w:numPr>
              <w:autoSpaceDE/>
              <w:autoSpaceDN/>
              <w:adjustRightInd/>
              <w:spacing w:after="0"/>
              <w:rPr>
                <w:rFonts w:cs="Arial"/>
              </w:rPr>
            </w:pPr>
            <w:r w:rsidRPr="00F33CAF">
              <w:rPr>
                <w:rFonts w:cs="Arial"/>
              </w:rPr>
              <w:t>achieve high levels of customer satisfaction</w:t>
            </w:r>
            <w:r>
              <w:rPr>
                <w:rFonts w:cs="Arial"/>
              </w:rPr>
              <w:t>; and</w:t>
            </w:r>
          </w:p>
          <w:p w:rsidR="00FC5F42" w:rsidRPr="00F33CAF" w:rsidRDefault="00547BE6" w:rsidP="00FC5F42">
            <w:pPr>
              <w:pStyle w:val="ListParagraph"/>
              <w:numPr>
                <w:ilvl w:val="0"/>
                <w:numId w:val="6"/>
              </w:numPr>
              <w:autoSpaceDE/>
              <w:autoSpaceDN/>
              <w:adjustRightInd/>
              <w:spacing w:after="0"/>
              <w:rPr>
                <w:rFonts w:cs="Arial"/>
              </w:rPr>
            </w:pPr>
            <w:r w:rsidRPr="00F33CAF">
              <w:rPr>
                <w:rFonts w:cs="Arial"/>
              </w:rPr>
              <w:t xml:space="preserve">drive value for money </w:t>
            </w:r>
            <w:r w:rsidRPr="00F33CAF">
              <w:rPr>
                <w:rFonts w:cs="Arial"/>
              </w:rPr>
              <w:t>from larger individual commissions via mini-competition</w:t>
            </w:r>
            <w:r>
              <w:rPr>
                <w:rFonts w:cs="Arial"/>
              </w:rPr>
              <w:t>.</w:t>
            </w:r>
          </w:p>
          <w:p w:rsidR="00FC5F42" w:rsidRPr="00F33CAF" w:rsidRDefault="00547BE6" w:rsidP="003111D7">
            <w:pPr>
              <w:jc w:val="both"/>
              <w:rPr>
                <w:rFonts w:ascii="Arial" w:hAnsi="Arial" w:cs="Arial"/>
              </w:rPr>
            </w:pPr>
          </w:p>
          <w:p w:rsidR="00FC5F42" w:rsidRDefault="00547BE6" w:rsidP="003111D7">
            <w:pPr>
              <w:jc w:val="both"/>
              <w:rPr>
                <w:rFonts w:ascii="Arial" w:hAnsi="Arial" w:cs="Arial"/>
              </w:rPr>
            </w:pPr>
            <w:r>
              <w:t xml:space="preserve">The </w:t>
            </w:r>
            <w:r w:rsidRPr="00F33CAF">
              <w:rPr>
                <w:rFonts w:ascii="Arial" w:hAnsi="Arial" w:cs="Arial"/>
              </w:rPr>
              <w:t>framework will deliver "top-up" services to supplement the Council's existing in-house design services.</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sidRPr="00F33CAF">
              <w:rPr>
                <w:rFonts w:ascii="Arial" w:hAnsi="Arial" w:cs="Arial"/>
              </w:rPr>
              <w:t>Work commissioned through the framework agreement will include (but not be limited to) pr</w:t>
            </w:r>
            <w:r w:rsidRPr="00F33CAF">
              <w:rPr>
                <w:rFonts w:ascii="Arial" w:hAnsi="Arial" w:cs="Arial"/>
              </w:rPr>
              <w:t>ofessional/</w:t>
            </w:r>
            <w:r>
              <w:rPr>
                <w:rFonts w:ascii="Arial" w:hAnsi="Arial" w:cs="Arial"/>
              </w:rPr>
              <w:t>technical work relating to:</w:t>
            </w:r>
          </w:p>
          <w:p w:rsidR="00FC5F42" w:rsidRDefault="00547BE6" w:rsidP="00FC5F42">
            <w:pPr>
              <w:pStyle w:val="ListParagraph"/>
              <w:numPr>
                <w:ilvl w:val="0"/>
                <w:numId w:val="6"/>
              </w:numPr>
              <w:autoSpaceDE/>
              <w:autoSpaceDN/>
              <w:adjustRightInd/>
              <w:spacing w:after="0"/>
              <w:rPr>
                <w:rFonts w:cs="Arial"/>
              </w:rPr>
            </w:pPr>
            <w:r>
              <w:rPr>
                <w:rFonts w:cs="Arial"/>
              </w:rPr>
              <w:t>civil engineering  and geotechnical services;</w:t>
            </w:r>
          </w:p>
          <w:p w:rsidR="00FC5F42" w:rsidRDefault="00547BE6" w:rsidP="00FC5F42">
            <w:pPr>
              <w:pStyle w:val="ListParagraph"/>
              <w:numPr>
                <w:ilvl w:val="0"/>
                <w:numId w:val="6"/>
              </w:numPr>
              <w:autoSpaceDE/>
              <w:autoSpaceDN/>
              <w:adjustRightInd/>
              <w:spacing w:after="0"/>
              <w:rPr>
                <w:rFonts w:cs="Arial"/>
              </w:rPr>
            </w:pPr>
            <w:r>
              <w:rPr>
                <w:rFonts w:cs="Arial"/>
              </w:rPr>
              <w:t>e</w:t>
            </w:r>
            <w:r w:rsidRPr="00F33CAF">
              <w:rPr>
                <w:rFonts w:cs="Arial"/>
              </w:rPr>
              <w:t>nvironmental services</w:t>
            </w:r>
            <w:r>
              <w:rPr>
                <w:rFonts w:cs="Arial"/>
              </w:rPr>
              <w:t>,</w:t>
            </w:r>
            <w:r w:rsidRPr="00F33CAF">
              <w:rPr>
                <w:rFonts w:cs="Arial"/>
              </w:rPr>
              <w:t xml:space="preserve"> including urban design plannin</w:t>
            </w:r>
            <w:r>
              <w:rPr>
                <w:rFonts w:cs="Arial"/>
              </w:rPr>
              <w:t>g and public realm regeneration</w:t>
            </w:r>
          </w:p>
          <w:p w:rsidR="00FC5F42" w:rsidRDefault="00547BE6" w:rsidP="00FC5F42">
            <w:pPr>
              <w:pStyle w:val="ListParagraph"/>
              <w:numPr>
                <w:ilvl w:val="0"/>
                <w:numId w:val="6"/>
              </w:numPr>
              <w:autoSpaceDE/>
              <w:autoSpaceDN/>
              <w:adjustRightInd/>
              <w:spacing w:after="0"/>
              <w:rPr>
                <w:rFonts w:cs="Arial"/>
              </w:rPr>
            </w:pPr>
            <w:r>
              <w:rPr>
                <w:rFonts w:cs="Arial"/>
              </w:rPr>
              <w:t>traffic modelling, transport planning s</w:t>
            </w:r>
            <w:r w:rsidRPr="00F33CAF">
              <w:rPr>
                <w:rFonts w:cs="Arial"/>
              </w:rPr>
              <w:t>ervices</w:t>
            </w:r>
            <w:r>
              <w:rPr>
                <w:rFonts w:cs="Arial"/>
              </w:rPr>
              <w:t>, intelligent transport s</w:t>
            </w:r>
            <w:r w:rsidRPr="00F33CAF">
              <w:rPr>
                <w:rFonts w:cs="Arial"/>
              </w:rPr>
              <w:t>ys</w:t>
            </w:r>
            <w:r>
              <w:rPr>
                <w:rFonts w:cs="Arial"/>
              </w:rPr>
              <w:t>tems and new</w:t>
            </w:r>
            <w:r>
              <w:rPr>
                <w:rFonts w:cs="Arial"/>
              </w:rPr>
              <w:t xml:space="preserve"> mobility solutions;</w:t>
            </w:r>
          </w:p>
          <w:p w:rsidR="00FC5F42" w:rsidRDefault="00547BE6" w:rsidP="00FC5F42">
            <w:pPr>
              <w:pStyle w:val="ListParagraph"/>
              <w:numPr>
                <w:ilvl w:val="0"/>
                <w:numId w:val="6"/>
              </w:numPr>
              <w:autoSpaceDE/>
              <w:autoSpaceDN/>
              <w:adjustRightInd/>
              <w:spacing w:after="0"/>
              <w:rPr>
                <w:rFonts w:cs="Arial"/>
              </w:rPr>
            </w:pPr>
            <w:r>
              <w:rPr>
                <w:rFonts w:cs="Arial"/>
              </w:rPr>
              <w:t>asset management;</w:t>
            </w:r>
          </w:p>
          <w:p w:rsidR="00FC5F42" w:rsidRDefault="00547BE6" w:rsidP="00FC5F42">
            <w:pPr>
              <w:pStyle w:val="ListParagraph"/>
              <w:numPr>
                <w:ilvl w:val="0"/>
                <w:numId w:val="6"/>
              </w:numPr>
              <w:autoSpaceDE/>
              <w:autoSpaceDN/>
              <w:adjustRightInd/>
              <w:spacing w:after="0"/>
              <w:rPr>
                <w:rFonts w:cs="Arial"/>
              </w:rPr>
            </w:pPr>
            <w:r>
              <w:rPr>
                <w:rFonts w:cs="Arial"/>
              </w:rPr>
              <w:t>building structural engineering;</w:t>
            </w:r>
          </w:p>
          <w:p w:rsidR="00FC5F42" w:rsidRDefault="00547BE6" w:rsidP="00FC5F42">
            <w:pPr>
              <w:pStyle w:val="ListParagraph"/>
              <w:numPr>
                <w:ilvl w:val="0"/>
                <w:numId w:val="6"/>
              </w:numPr>
              <w:autoSpaceDE/>
              <w:autoSpaceDN/>
              <w:adjustRightInd/>
              <w:spacing w:after="0"/>
              <w:rPr>
                <w:rFonts w:cs="Arial"/>
              </w:rPr>
            </w:pPr>
            <w:r>
              <w:rPr>
                <w:rFonts w:cs="Arial"/>
              </w:rPr>
              <w:t>project management; and</w:t>
            </w:r>
          </w:p>
          <w:p w:rsidR="00FC5F42" w:rsidRPr="00F33CAF" w:rsidRDefault="00547BE6" w:rsidP="00FC5F42">
            <w:pPr>
              <w:pStyle w:val="ListParagraph"/>
              <w:numPr>
                <w:ilvl w:val="0"/>
                <w:numId w:val="6"/>
              </w:numPr>
              <w:autoSpaceDE/>
              <w:autoSpaceDN/>
              <w:adjustRightInd/>
              <w:spacing w:after="0"/>
              <w:rPr>
                <w:rFonts w:cs="Arial"/>
              </w:rPr>
            </w:pPr>
            <w:r>
              <w:rPr>
                <w:rFonts w:cs="Arial"/>
              </w:rPr>
              <w:t>g</w:t>
            </w:r>
            <w:r w:rsidRPr="00F33CAF">
              <w:rPr>
                <w:rFonts w:cs="Arial"/>
              </w:rPr>
              <w:t>rant bid preparation</w:t>
            </w:r>
            <w:r>
              <w:rPr>
                <w:rFonts w:cs="Arial"/>
              </w:rPr>
              <w:t>.</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Pr>
                <w:rFonts w:ascii="Arial" w:hAnsi="Arial" w:cs="Arial"/>
              </w:rPr>
              <w:t xml:space="preserve">The recommendation is for the Council to conduct an </w:t>
            </w:r>
            <w:r w:rsidRPr="00F33CAF">
              <w:rPr>
                <w:rFonts w:ascii="Arial" w:hAnsi="Arial" w:cs="Arial"/>
              </w:rPr>
              <w:t xml:space="preserve">OJEU Open </w:t>
            </w:r>
            <w:r>
              <w:rPr>
                <w:rFonts w:ascii="Arial" w:hAnsi="Arial" w:cs="Arial"/>
              </w:rPr>
              <w:t>procurement procedure, to secure a multi-provider (maximum of two consulta</w:t>
            </w:r>
            <w:r>
              <w:rPr>
                <w:rFonts w:ascii="Arial" w:hAnsi="Arial" w:cs="Arial"/>
              </w:rPr>
              <w:t>nts) framework.</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sidRPr="00F33CAF">
              <w:rPr>
                <w:rFonts w:ascii="Arial" w:hAnsi="Arial" w:cs="Arial"/>
              </w:rPr>
              <w:t>Subsequent work packages</w:t>
            </w:r>
            <w:r>
              <w:rPr>
                <w:rFonts w:ascii="Arial" w:hAnsi="Arial" w:cs="Arial"/>
              </w:rPr>
              <w:t xml:space="preserve"> (commissions)</w:t>
            </w:r>
            <w:r w:rsidRPr="00F33CAF">
              <w:rPr>
                <w:rFonts w:ascii="Arial" w:hAnsi="Arial" w:cs="Arial"/>
              </w:rPr>
              <w:t xml:space="preserve"> will be awarded to consultants on the framework in the following ways:</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b/>
              </w:rPr>
            </w:pPr>
            <w:r w:rsidRPr="00F33CAF">
              <w:rPr>
                <w:rFonts w:ascii="Arial" w:hAnsi="Arial" w:cs="Arial"/>
                <w:b/>
              </w:rPr>
              <w:t>Commissions with a value of £40,000 or higher</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sidRPr="00F33CAF">
              <w:rPr>
                <w:rFonts w:ascii="Arial" w:hAnsi="Arial" w:cs="Arial"/>
                <w:b/>
              </w:rPr>
              <w:t>Price/Quality Mini Competition</w:t>
            </w:r>
          </w:p>
          <w:p w:rsidR="00FC5F42" w:rsidRPr="00F33CAF" w:rsidRDefault="00547BE6" w:rsidP="003111D7">
            <w:pPr>
              <w:jc w:val="both"/>
              <w:rPr>
                <w:rFonts w:ascii="Arial" w:hAnsi="Arial" w:cs="Arial"/>
              </w:rPr>
            </w:pPr>
            <w:r w:rsidRPr="00F33CAF">
              <w:rPr>
                <w:rFonts w:ascii="Arial" w:hAnsi="Arial" w:cs="Arial"/>
              </w:rPr>
              <w:t>Consultants will submit competitive quotations for</w:t>
            </w:r>
            <w:r w:rsidRPr="00F33CAF">
              <w:rPr>
                <w:rFonts w:ascii="Arial" w:hAnsi="Arial" w:cs="Arial"/>
              </w:rPr>
              <w:t xml:space="preserve"> the award of a call-off contract by means of a price and quality competition. The framework will be set up to permit variance in the balance of price / quality assessments</w:t>
            </w:r>
            <w:r>
              <w:rPr>
                <w:rFonts w:ascii="Arial" w:hAnsi="Arial" w:cs="Arial"/>
              </w:rPr>
              <w:t>.</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sidRPr="00F33CAF">
              <w:rPr>
                <w:rFonts w:ascii="Arial" w:hAnsi="Arial" w:cs="Arial"/>
                <w:b/>
              </w:rPr>
              <w:t>Commissions with a value of under £40,000</w:t>
            </w:r>
          </w:p>
          <w:p w:rsidR="00FC5F42" w:rsidRPr="00F33CAF" w:rsidRDefault="00547BE6" w:rsidP="003111D7">
            <w:pPr>
              <w:jc w:val="both"/>
              <w:rPr>
                <w:rFonts w:ascii="Arial" w:hAnsi="Arial" w:cs="Arial"/>
              </w:rPr>
            </w:pPr>
            <w:r w:rsidRPr="00F33CAF">
              <w:rPr>
                <w:rFonts w:ascii="Arial" w:hAnsi="Arial" w:cs="Arial"/>
              </w:rPr>
              <w:t>Commissions under the threshold value w</w:t>
            </w:r>
            <w:r w:rsidRPr="00F33CAF">
              <w:rPr>
                <w:rFonts w:ascii="Arial" w:hAnsi="Arial" w:cs="Arial"/>
              </w:rPr>
              <w:t xml:space="preserve">ill be awarded directly to the consultant that was highest ranked in the framework evaluation. The consultant </w:t>
            </w:r>
            <w:r>
              <w:rPr>
                <w:rFonts w:ascii="Arial" w:hAnsi="Arial" w:cs="Arial"/>
              </w:rPr>
              <w:t>is required to</w:t>
            </w:r>
            <w:r w:rsidRPr="00F33CAF">
              <w:rPr>
                <w:rFonts w:ascii="Arial" w:hAnsi="Arial" w:cs="Arial"/>
              </w:rPr>
              <w:t xml:space="preserve"> </w:t>
            </w:r>
            <w:r>
              <w:rPr>
                <w:rFonts w:ascii="Arial" w:hAnsi="Arial" w:cs="Arial"/>
              </w:rPr>
              <w:t>provide a quote for the commission. T</w:t>
            </w:r>
            <w:r w:rsidRPr="00F33CAF">
              <w:rPr>
                <w:rFonts w:ascii="Arial" w:hAnsi="Arial" w:cs="Arial"/>
              </w:rPr>
              <w:t xml:space="preserve">he quote will be subject to negotiation by the </w:t>
            </w:r>
            <w:r>
              <w:rPr>
                <w:rFonts w:ascii="Arial" w:hAnsi="Arial" w:cs="Arial"/>
              </w:rPr>
              <w:t>Council</w:t>
            </w:r>
            <w:r w:rsidRPr="00F33CAF">
              <w:rPr>
                <w:rFonts w:ascii="Arial" w:hAnsi="Arial" w:cs="Arial"/>
              </w:rPr>
              <w:t xml:space="preserve">. Should the </w:t>
            </w:r>
            <w:r>
              <w:rPr>
                <w:rFonts w:ascii="Arial" w:hAnsi="Arial" w:cs="Arial"/>
              </w:rPr>
              <w:t xml:space="preserve">first ranked </w:t>
            </w:r>
            <w:r w:rsidRPr="00F33CAF">
              <w:rPr>
                <w:rFonts w:ascii="Arial" w:hAnsi="Arial" w:cs="Arial"/>
              </w:rPr>
              <w:t xml:space="preserve">consultant be unable </w:t>
            </w:r>
            <w:r>
              <w:rPr>
                <w:rFonts w:ascii="Arial" w:hAnsi="Arial" w:cs="Arial"/>
              </w:rPr>
              <w:t>fulfil the commission</w:t>
            </w:r>
            <w:r w:rsidRPr="00F33CAF">
              <w:rPr>
                <w:rFonts w:ascii="Arial" w:hAnsi="Arial" w:cs="Arial"/>
              </w:rPr>
              <w:t>, the commission will be offered to the second consultant.</w:t>
            </w:r>
          </w:p>
          <w:p w:rsidR="00FC5F42" w:rsidRPr="00F33CAF" w:rsidRDefault="00547BE6" w:rsidP="003111D7">
            <w:pPr>
              <w:jc w:val="both"/>
              <w:rPr>
                <w:rFonts w:ascii="Arial" w:hAnsi="Arial" w:cs="Arial"/>
              </w:rPr>
            </w:pPr>
          </w:p>
          <w:p w:rsidR="00FC5F42" w:rsidRPr="00F33CAF" w:rsidRDefault="00547BE6" w:rsidP="003111D7">
            <w:pPr>
              <w:jc w:val="both"/>
              <w:rPr>
                <w:rFonts w:ascii="Arial" w:hAnsi="Arial" w:cs="Arial"/>
              </w:rPr>
            </w:pPr>
            <w:r w:rsidRPr="00F33CAF">
              <w:rPr>
                <w:rFonts w:ascii="Arial" w:hAnsi="Arial" w:cs="Arial"/>
                <w:b/>
              </w:rPr>
              <w:t>Follow on work, commission revisions</w:t>
            </w:r>
          </w:p>
          <w:p w:rsidR="00FC5F42" w:rsidRPr="00E71D63" w:rsidRDefault="00547BE6" w:rsidP="003111D7">
            <w:pPr>
              <w:jc w:val="both"/>
              <w:rPr>
                <w:rFonts w:ascii="Arial" w:hAnsi="Arial" w:cs="Arial"/>
                <w:i/>
                <w:color w:val="FF0000"/>
              </w:rPr>
            </w:pPr>
            <w:r w:rsidRPr="00F33CAF">
              <w:rPr>
                <w:rFonts w:ascii="Arial" w:hAnsi="Arial" w:cs="Arial"/>
              </w:rPr>
              <w:t>Follow on work,</w:t>
            </w:r>
            <w:r>
              <w:rPr>
                <w:rFonts w:ascii="Arial" w:hAnsi="Arial" w:cs="Arial"/>
              </w:rPr>
              <w:t xml:space="preserve"> or commission revisions may require award</w:t>
            </w:r>
            <w:r w:rsidRPr="00F33CAF">
              <w:rPr>
                <w:rFonts w:ascii="Arial" w:hAnsi="Arial" w:cs="Arial"/>
              </w:rPr>
              <w:t xml:space="preserve"> to the consultant that carried out the initial commission, </w:t>
            </w:r>
            <w:r w:rsidRPr="00F33CAF">
              <w:rPr>
                <w:rFonts w:ascii="Arial" w:hAnsi="Arial" w:cs="Arial"/>
              </w:rPr>
              <w:t xml:space="preserve">although this should only occur where it would be impractical </w:t>
            </w:r>
            <w:r>
              <w:rPr>
                <w:rFonts w:ascii="Arial" w:hAnsi="Arial" w:cs="Arial"/>
              </w:rPr>
              <w:t>or uneconomical to run a mini</w:t>
            </w:r>
            <w:r w:rsidRPr="00F33CAF">
              <w:rPr>
                <w:rFonts w:ascii="Arial" w:hAnsi="Arial" w:cs="Arial"/>
              </w:rPr>
              <w:t xml:space="preserve"> competition.</w:t>
            </w:r>
          </w:p>
        </w:tc>
      </w:tr>
    </w:tbl>
    <w:p w:rsidR="0089604A" w:rsidRPr="004E02A4" w:rsidRDefault="00547BE6" w:rsidP="006A13DD">
      <w:pPr>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DA3"/>
    <w:multiLevelType w:val="hybridMultilevel"/>
    <w:tmpl w:val="F8C65796"/>
    <w:lvl w:ilvl="0" w:tplc="C2D889A4">
      <w:numFmt w:val="bullet"/>
      <w:lvlText w:val="-"/>
      <w:lvlJc w:val="left"/>
      <w:pPr>
        <w:ind w:left="720" w:hanging="360"/>
      </w:pPr>
      <w:rPr>
        <w:rFonts w:ascii="Arial-BoldMT" w:eastAsiaTheme="minorHAnsi" w:hAnsi="Arial-BoldMT" w:cs="Arial-BoldMT" w:hint="default"/>
      </w:rPr>
    </w:lvl>
    <w:lvl w:ilvl="1" w:tplc="D424E7C0" w:tentative="1">
      <w:start w:val="1"/>
      <w:numFmt w:val="bullet"/>
      <w:lvlText w:val="o"/>
      <w:lvlJc w:val="left"/>
      <w:pPr>
        <w:ind w:left="1440" w:hanging="360"/>
      </w:pPr>
      <w:rPr>
        <w:rFonts w:ascii="Courier New" w:hAnsi="Courier New" w:cs="Courier New" w:hint="default"/>
      </w:rPr>
    </w:lvl>
    <w:lvl w:ilvl="2" w:tplc="491E7DA4" w:tentative="1">
      <w:start w:val="1"/>
      <w:numFmt w:val="bullet"/>
      <w:lvlText w:val=""/>
      <w:lvlJc w:val="left"/>
      <w:pPr>
        <w:ind w:left="2160" w:hanging="360"/>
      </w:pPr>
      <w:rPr>
        <w:rFonts w:ascii="Wingdings" w:hAnsi="Wingdings" w:hint="default"/>
      </w:rPr>
    </w:lvl>
    <w:lvl w:ilvl="3" w:tplc="9DDA6004" w:tentative="1">
      <w:start w:val="1"/>
      <w:numFmt w:val="bullet"/>
      <w:lvlText w:val=""/>
      <w:lvlJc w:val="left"/>
      <w:pPr>
        <w:ind w:left="2880" w:hanging="360"/>
      </w:pPr>
      <w:rPr>
        <w:rFonts w:ascii="Symbol" w:hAnsi="Symbol" w:hint="default"/>
      </w:rPr>
    </w:lvl>
    <w:lvl w:ilvl="4" w:tplc="CD2818FE" w:tentative="1">
      <w:start w:val="1"/>
      <w:numFmt w:val="bullet"/>
      <w:lvlText w:val="o"/>
      <w:lvlJc w:val="left"/>
      <w:pPr>
        <w:ind w:left="3600" w:hanging="360"/>
      </w:pPr>
      <w:rPr>
        <w:rFonts w:ascii="Courier New" w:hAnsi="Courier New" w:cs="Courier New" w:hint="default"/>
      </w:rPr>
    </w:lvl>
    <w:lvl w:ilvl="5" w:tplc="39F03A26" w:tentative="1">
      <w:start w:val="1"/>
      <w:numFmt w:val="bullet"/>
      <w:lvlText w:val=""/>
      <w:lvlJc w:val="left"/>
      <w:pPr>
        <w:ind w:left="4320" w:hanging="360"/>
      </w:pPr>
      <w:rPr>
        <w:rFonts w:ascii="Wingdings" w:hAnsi="Wingdings" w:hint="default"/>
      </w:rPr>
    </w:lvl>
    <w:lvl w:ilvl="6" w:tplc="3536DA4E" w:tentative="1">
      <w:start w:val="1"/>
      <w:numFmt w:val="bullet"/>
      <w:lvlText w:val=""/>
      <w:lvlJc w:val="left"/>
      <w:pPr>
        <w:ind w:left="5040" w:hanging="360"/>
      </w:pPr>
      <w:rPr>
        <w:rFonts w:ascii="Symbol" w:hAnsi="Symbol" w:hint="default"/>
      </w:rPr>
    </w:lvl>
    <w:lvl w:ilvl="7" w:tplc="9F38D65A" w:tentative="1">
      <w:start w:val="1"/>
      <w:numFmt w:val="bullet"/>
      <w:lvlText w:val="o"/>
      <w:lvlJc w:val="left"/>
      <w:pPr>
        <w:ind w:left="5760" w:hanging="360"/>
      </w:pPr>
      <w:rPr>
        <w:rFonts w:ascii="Courier New" w:hAnsi="Courier New" w:cs="Courier New" w:hint="default"/>
      </w:rPr>
    </w:lvl>
    <w:lvl w:ilvl="8" w:tplc="EF2ADBE0" w:tentative="1">
      <w:start w:val="1"/>
      <w:numFmt w:val="bullet"/>
      <w:lvlText w:val=""/>
      <w:lvlJc w:val="left"/>
      <w:pPr>
        <w:ind w:left="6480" w:hanging="360"/>
      </w:pPr>
      <w:rPr>
        <w:rFonts w:ascii="Wingdings" w:hAnsi="Wingdings" w:hint="default"/>
      </w:rPr>
    </w:lvl>
  </w:abstractNum>
  <w:abstractNum w:abstractNumId="1" w15:restartNumberingAfterBreak="0">
    <w:nsid w:val="03F92741"/>
    <w:multiLevelType w:val="hybridMultilevel"/>
    <w:tmpl w:val="85A489A0"/>
    <w:lvl w:ilvl="0" w:tplc="F82A0BEC">
      <w:numFmt w:val="bullet"/>
      <w:lvlText w:val=""/>
      <w:lvlJc w:val="left"/>
      <w:pPr>
        <w:ind w:left="720" w:hanging="360"/>
      </w:pPr>
      <w:rPr>
        <w:rFonts w:ascii="Symbol" w:eastAsia="Times New Roman" w:hAnsi="Symbol" w:cs="Times New Roman" w:hint="default"/>
      </w:rPr>
    </w:lvl>
    <w:lvl w:ilvl="1" w:tplc="A184E770" w:tentative="1">
      <w:start w:val="1"/>
      <w:numFmt w:val="bullet"/>
      <w:lvlText w:val="o"/>
      <w:lvlJc w:val="left"/>
      <w:pPr>
        <w:ind w:left="1440" w:hanging="360"/>
      </w:pPr>
      <w:rPr>
        <w:rFonts w:ascii="Courier New" w:hAnsi="Courier New" w:cs="Arial" w:hint="default"/>
      </w:rPr>
    </w:lvl>
    <w:lvl w:ilvl="2" w:tplc="38C4252A" w:tentative="1">
      <w:start w:val="1"/>
      <w:numFmt w:val="bullet"/>
      <w:lvlText w:val=""/>
      <w:lvlJc w:val="left"/>
      <w:pPr>
        <w:ind w:left="2160" w:hanging="360"/>
      </w:pPr>
      <w:rPr>
        <w:rFonts w:ascii="Wingdings" w:hAnsi="Wingdings" w:hint="default"/>
      </w:rPr>
    </w:lvl>
    <w:lvl w:ilvl="3" w:tplc="40989C2A" w:tentative="1">
      <w:start w:val="1"/>
      <w:numFmt w:val="bullet"/>
      <w:lvlText w:val=""/>
      <w:lvlJc w:val="left"/>
      <w:pPr>
        <w:ind w:left="2880" w:hanging="360"/>
      </w:pPr>
      <w:rPr>
        <w:rFonts w:ascii="Symbol" w:hAnsi="Symbol" w:hint="default"/>
      </w:rPr>
    </w:lvl>
    <w:lvl w:ilvl="4" w:tplc="8C448770" w:tentative="1">
      <w:start w:val="1"/>
      <w:numFmt w:val="bullet"/>
      <w:lvlText w:val="o"/>
      <w:lvlJc w:val="left"/>
      <w:pPr>
        <w:ind w:left="3600" w:hanging="360"/>
      </w:pPr>
      <w:rPr>
        <w:rFonts w:ascii="Courier New" w:hAnsi="Courier New" w:cs="Arial" w:hint="default"/>
      </w:rPr>
    </w:lvl>
    <w:lvl w:ilvl="5" w:tplc="6DBA0E3E" w:tentative="1">
      <w:start w:val="1"/>
      <w:numFmt w:val="bullet"/>
      <w:lvlText w:val=""/>
      <w:lvlJc w:val="left"/>
      <w:pPr>
        <w:ind w:left="4320" w:hanging="360"/>
      </w:pPr>
      <w:rPr>
        <w:rFonts w:ascii="Wingdings" w:hAnsi="Wingdings" w:hint="default"/>
      </w:rPr>
    </w:lvl>
    <w:lvl w:ilvl="6" w:tplc="DC1CC36E" w:tentative="1">
      <w:start w:val="1"/>
      <w:numFmt w:val="bullet"/>
      <w:lvlText w:val=""/>
      <w:lvlJc w:val="left"/>
      <w:pPr>
        <w:ind w:left="5040" w:hanging="360"/>
      </w:pPr>
      <w:rPr>
        <w:rFonts w:ascii="Symbol" w:hAnsi="Symbol" w:hint="default"/>
      </w:rPr>
    </w:lvl>
    <w:lvl w:ilvl="7" w:tplc="E7CC14B0" w:tentative="1">
      <w:start w:val="1"/>
      <w:numFmt w:val="bullet"/>
      <w:lvlText w:val="o"/>
      <w:lvlJc w:val="left"/>
      <w:pPr>
        <w:ind w:left="5760" w:hanging="360"/>
      </w:pPr>
      <w:rPr>
        <w:rFonts w:ascii="Courier New" w:hAnsi="Courier New" w:cs="Arial" w:hint="default"/>
      </w:rPr>
    </w:lvl>
    <w:lvl w:ilvl="8" w:tplc="13A4D314" w:tentative="1">
      <w:start w:val="1"/>
      <w:numFmt w:val="bullet"/>
      <w:lvlText w:val=""/>
      <w:lvlJc w:val="left"/>
      <w:pPr>
        <w:ind w:left="6480" w:hanging="360"/>
      </w:pPr>
      <w:rPr>
        <w:rFonts w:ascii="Wingdings" w:hAnsi="Wingdings" w:hint="default"/>
      </w:rPr>
    </w:lvl>
  </w:abstractNum>
  <w:abstractNum w:abstractNumId="2" w15:restartNumberingAfterBreak="0">
    <w:nsid w:val="14F40B30"/>
    <w:multiLevelType w:val="hybridMultilevel"/>
    <w:tmpl w:val="9F0C274A"/>
    <w:lvl w:ilvl="0" w:tplc="4D3A289E">
      <w:start w:val="14"/>
      <w:numFmt w:val="bullet"/>
      <w:lvlText w:val="-"/>
      <w:lvlJc w:val="left"/>
      <w:pPr>
        <w:ind w:left="720" w:hanging="360"/>
      </w:pPr>
      <w:rPr>
        <w:rFonts w:ascii="Arial" w:eastAsia="Calibri" w:hAnsi="Arial" w:cs="Arial" w:hint="default"/>
      </w:rPr>
    </w:lvl>
    <w:lvl w:ilvl="1" w:tplc="9F340A96" w:tentative="1">
      <w:start w:val="1"/>
      <w:numFmt w:val="bullet"/>
      <w:lvlText w:val="o"/>
      <w:lvlJc w:val="left"/>
      <w:pPr>
        <w:ind w:left="1440" w:hanging="360"/>
      </w:pPr>
      <w:rPr>
        <w:rFonts w:ascii="Courier New" w:hAnsi="Courier New" w:cs="Courier New" w:hint="default"/>
      </w:rPr>
    </w:lvl>
    <w:lvl w:ilvl="2" w:tplc="5D2A7CB6" w:tentative="1">
      <w:start w:val="1"/>
      <w:numFmt w:val="bullet"/>
      <w:lvlText w:val=""/>
      <w:lvlJc w:val="left"/>
      <w:pPr>
        <w:ind w:left="2160" w:hanging="360"/>
      </w:pPr>
      <w:rPr>
        <w:rFonts w:ascii="Wingdings" w:hAnsi="Wingdings" w:hint="default"/>
      </w:rPr>
    </w:lvl>
    <w:lvl w:ilvl="3" w:tplc="BE90419C" w:tentative="1">
      <w:start w:val="1"/>
      <w:numFmt w:val="bullet"/>
      <w:lvlText w:val=""/>
      <w:lvlJc w:val="left"/>
      <w:pPr>
        <w:ind w:left="2880" w:hanging="360"/>
      </w:pPr>
      <w:rPr>
        <w:rFonts w:ascii="Symbol" w:hAnsi="Symbol" w:hint="default"/>
      </w:rPr>
    </w:lvl>
    <w:lvl w:ilvl="4" w:tplc="4A40FED4" w:tentative="1">
      <w:start w:val="1"/>
      <w:numFmt w:val="bullet"/>
      <w:lvlText w:val="o"/>
      <w:lvlJc w:val="left"/>
      <w:pPr>
        <w:ind w:left="3600" w:hanging="360"/>
      </w:pPr>
      <w:rPr>
        <w:rFonts w:ascii="Courier New" w:hAnsi="Courier New" w:cs="Courier New" w:hint="default"/>
      </w:rPr>
    </w:lvl>
    <w:lvl w:ilvl="5" w:tplc="984C096E" w:tentative="1">
      <w:start w:val="1"/>
      <w:numFmt w:val="bullet"/>
      <w:lvlText w:val=""/>
      <w:lvlJc w:val="left"/>
      <w:pPr>
        <w:ind w:left="4320" w:hanging="360"/>
      </w:pPr>
      <w:rPr>
        <w:rFonts w:ascii="Wingdings" w:hAnsi="Wingdings" w:hint="default"/>
      </w:rPr>
    </w:lvl>
    <w:lvl w:ilvl="6" w:tplc="2EE8EE5C" w:tentative="1">
      <w:start w:val="1"/>
      <w:numFmt w:val="bullet"/>
      <w:lvlText w:val=""/>
      <w:lvlJc w:val="left"/>
      <w:pPr>
        <w:ind w:left="5040" w:hanging="360"/>
      </w:pPr>
      <w:rPr>
        <w:rFonts w:ascii="Symbol" w:hAnsi="Symbol" w:hint="default"/>
      </w:rPr>
    </w:lvl>
    <w:lvl w:ilvl="7" w:tplc="F6549596" w:tentative="1">
      <w:start w:val="1"/>
      <w:numFmt w:val="bullet"/>
      <w:lvlText w:val="o"/>
      <w:lvlJc w:val="left"/>
      <w:pPr>
        <w:ind w:left="5760" w:hanging="360"/>
      </w:pPr>
      <w:rPr>
        <w:rFonts w:ascii="Courier New" w:hAnsi="Courier New" w:cs="Courier New" w:hint="default"/>
      </w:rPr>
    </w:lvl>
    <w:lvl w:ilvl="8" w:tplc="38F4420A" w:tentative="1">
      <w:start w:val="1"/>
      <w:numFmt w:val="bullet"/>
      <w:lvlText w:val=""/>
      <w:lvlJc w:val="left"/>
      <w:pPr>
        <w:ind w:left="6480" w:hanging="360"/>
      </w:pPr>
      <w:rPr>
        <w:rFonts w:ascii="Wingdings" w:hAnsi="Wingdings" w:hint="default"/>
      </w:rPr>
    </w:lvl>
  </w:abstractNum>
  <w:abstractNum w:abstractNumId="3" w15:restartNumberingAfterBreak="0">
    <w:nsid w:val="3EB26C6A"/>
    <w:multiLevelType w:val="hybridMultilevel"/>
    <w:tmpl w:val="65E8D43A"/>
    <w:lvl w:ilvl="0" w:tplc="68B449F0">
      <w:start w:val="14"/>
      <w:numFmt w:val="bullet"/>
      <w:lvlText w:val="-"/>
      <w:lvlJc w:val="left"/>
      <w:pPr>
        <w:ind w:left="720" w:hanging="360"/>
      </w:pPr>
      <w:rPr>
        <w:rFonts w:ascii="Arial" w:eastAsia="Calibri" w:hAnsi="Arial" w:cs="Arial" w:hint="default"/>
      </w:rPr>
    </w:lvl>
    <w:lvl w:ilvl="1" w:tplc="00202C8E" w:tentative="1">
      <w:start w:val="1"/>
      <w:numFmt w:val="bullet"/>
      <w:lvlText w:val="o"/>
      <w:lvlJc w:val="left"/>
      <w:pPr>
        <w:ind w:left="1440" w:hanging="360"/>
      </w:pPr>
      <w:rPr>
        <w:rFonts w:ascii="Courier New" w:hAnsi="Courier New" w:cs="Courier New" w:hint="default"/>
      </w:rPr>
    </w:lvl>
    <w:lvl w:ilvl="2" w:tplc="B7ACD2A6" w:tentative="1">
      <w:start w:val="1"/>
      <w:numFmt w:val="bullet"/>
      <w:lvlText w:val=""/>
      <w:lvlJc w:val="left"/>
      <w:pPr>
        <w:ind w:left="2160" w:hanging="360"/>
      </w:pPr>
      <w:rPr>
        <w:rFonts w:ascii="Wingdings" w:hAnsi="Wingdings" w:hint="default"/>
      </w:rPr>
    </w:lvl>
    <w:lvl w:ilvl="3" w:tplc="D8E8D5AC" w:tentative="1">
      <w:start w:val="1"/>
      <w:numFmt w:val="bullet"/>
      <w:lvlText w:val=""/>
      <w:lvlJc w:val="left"/>
      <w:pPr>
        <w:ind w:left="2880" w:hanging="360"/>
      </w:pPr>
      <w:rPr>
        <w:rFonts w:ascii="Symbol" w:hAnsi="Symbol" w:hint="default"/>
      </w:rPr>
    </w:lvl>
    <w:lvl w:ilvl="4" w:tplc="E406499C" w:tentative="1">
      <w:start w:val="1"/>
      <w:numFmt w:val="bullet"/>
      <w:lvlText w:val="o"/>
      <w:lvlJc w:val="left"/>
      <w:pPr>
        <w:ind w:left="3600" w:hanging="360"/>
      </w:pPr>
      <w:rPr>
        <w:rFonts w:ascii="Courier New" w:hAnsi="Courier New" w:cs="Courier New" w:hint="default"/>
      </w:rPr>
    </w:lvl>
    <w:lvl w:ilvl="5" w:tplc="3C7851DC" w:tentative="1">
      <w:start w:val="1"/>
      <w:numFmt w:val="bullet"/>
      <w:lvlText w:val=""/>
      <w:lvlJc w:val="left"/>
      <w:pPr>
        <w:ind w:left="4320" w:hanging="360"/>
      </w:pPr>
      <w:rPr>
        <w:rFonts w:ascii="Wingdings" w:hAnsi="Wingdings" w:hint="default"/>
      </w:rPr>
    </w:lvl>
    <w:lvl w:ilvl="6" w:tplc="F578BD36" w:tentative="1">
      <w:start w:val="1"/>
      <w:numFmt w:val="bullet"/>
      <w:lvlText w:val=""/>
      <w:lvlJc w:val="left"/>
      <w:pPr>
        <w:ind w:left="5040" w:hanging="360"/>
      </w:pPr>
      <w:rPr>
        <w:rFonts w:ascii="Symbol" w:hAnsi="Symbol" w:hint="default"/>
      </w:rPr>
    </w:lvl>
    <w:lvl w:ilvl="7" w:tplc="4EDE129C" w:tentative="1">
      <w:start w:val="1"/>
      <w:numFmt w:val="bullet"/>
      <w:lvlText w:val="o"/>
      <w:lvlJc w:val="left"/>
      <w:pPr>
        <w:ind w:left="5760" w:hanging="360"/>
      </w:pPr>
      <w:rPr>
        <w:rFonts w:ascii="Courier New" w:hAnsi="Courier New" w:cs="Courier New" w:hint="default"/>
      </w:rPr>
    </w:lvl>
    <w:lvl w:ilvl="8" w:tplc="587AB72E" w:tentative="1">
      <w:start w:val="1"/>
      <w:numFmt w:val="bullet"/>
      <w:lvlText w:val=""/>
      <w:lvlJc w:val="left"/>
      <w:pPr>
        <w:ind w:left="6480" w:hanging="360"/>
      </w:pPr>
      <w:rPr>
        <w:rFonts w:ascii="Wingdings" w:hAnsi="Wingdings" w:hint="default"/>
      </w:rPr>
    </w:lvl>
  </w:abstractNum>
  <w:abstractNum w:abstractNumId="4" w15:restartNumberingAfterBreak="0">
    <w:nsid w:val="57CA19C2"/>
    <w:multiLevelType w:val="hybridMultilevel"/>
    <w:tmpl w:val="94E22364"/>
    <w:lvl w:ilvl="0" w:tplc="4A5AD4E2">
      <w:start w:val="1"/>
      <w:numFmt w:val="bullet"/>
      <w:lvlText w:val=""/>
      <w:lvlJc w:val="left"/>
      <w:pPr>
        <w:ind w:left="720" w:hanging="360"/>
      </w:pPr>
      <w:rPr>
        <w:rFonts w:ascii="Symbol" w:hAnsi="Symbol" w:hint="default"/>
      </w:rPr>
    </w:lvl>
    <w:lvl w:ilvl="1" w:tplc="961C4B38" w:tentative="1">
      <w:start w:val="1"/>
      <w:numFmt w:val="bullet"/>
      <w:lvlText w:val="o"/>
      <w:lvlJc w:val="left"/>
      <w:pPr>
        <w:ind w:left="1440" w:hanging="360"/>
      </w:pPr>
      <w:rPr>
        <w:rFonts w:ascii="Courier New" w:hAnsi="Courier New" w:cs="Courier New" w:hint="default"/>
      </w:rPr>
    </w:lvl>
    <w:lvl w:ilvl="2" w:tplc="359E50E8" w:tentative="1">
      <w:start w:val="1"/>
      <w:numFmt w:val="bullet"/>
      <w:lvlText w:val=""/>
      <w:lvlJc w:val="left"/>
      <w:pPr>
        <w:ind w:left="2160" w:hanging="360"/>
      </w:pPr>
      <w:rPr>
        <w:rFonts w:ascii="Wingdings" w:hAnsi="Wingdings" w:hint="default"/>
      </w:rPr>
    </w:lvl>
    <w:lvl w:ilvl="3" w:tplc="5C8E1656" w:tentative="1">
      <w:start w:val="1"/>
      <w:numFmt w:val="bullet"/>
      <w:lvlText w:val=""/>
      <w:lvlJc w:val="left"/>
      <w:pPr>
        <w:ind w:left="2880" w:hanging="360"/>
      </w:pPr>
      <w:rPr>
        <w:rFonts w:ascii="Symbol" w:hAnsi="Symbol" w:hint="default"/>
      </w:rPr>
    </w:lvl>
    <w:lvl w:ilvl="4" w:tplc="1E3AF50A" w:tentative="1">
      <w:start w:val="1"/>
      <w:numFmt w:val="bullet"/>
      <w:lvlText w:val="o"/>
      <w:lvlJc w:val="left"/>
      <w:pPr>
        <w:ind w:left="3600" w:hanging="360"/>
      </w:pPr>
      <w:rPr>
        <w:rFonts w:ascii="Courier New" w:hAnsi="Courier New" w:cs="Courier New" w:hint="default"/>
      </w:rPr>
    </w:lvl>
    <w:lvl w:ilvl="5" w:tplc="1F6245D2" w:tentative="1">
      <w:start w:val="1"/>
      <w:numFmt w:val="bullet"/>
      <w:lvlText w:val=""/>
      <w:lvlJc w:val="left"/>
      <w:pPr>
        <w:ind w:left="4320" w:hanging="360"/>
      </w:pPr>
      <w:rPr>
        <w:rFonts w:ascii="Wingdings" w:hAnsi="Wingdings" w:hint="default"/>
      </w:rPr>
    </w:lvl>
    <w:lvl w:ilvl="6" w:tplc="1F5A02D0" w:tentative="1">
      <w:start w:val="1"/>
      <w:numFmt w:val="bullet"/>
      <w:lvlText w:val=""/>
      <w:lvlJc w:val="left"/>
      <w:pPr>
        <w:ind w:left="5040" w:hanging="360"/>
      </w:pPr>
      <w:rPr>
        <w:rFonts w:ascii="Symbol" w:hAnsi="Symbol" w:hint="default"/>
      </w:rPr>
    </w:lvl>
    <w:lvl w:ilvl="7" w:tplc="1F16DA64" w:tentative="1">
      <w:start w:val="1"/>
      <w:numFmt w:val="bullet"/>
      <w:lvlText w:val="o"/>
      <w:lvlJc w:val="left"/>
      <w:pPr>
        <w:ind w:left="5760" w:hanging="360"/>
      </w:pPr>
      <w:rPr>
        <w:rFonts w:ascii="Courier New" w:hAnsi="Courier New" w:cs="Courier New" w:hint="default"/>
      </w:rPr>
    </w:lvl>
    <w:lvl w:ilvl="8" w:tplc="B2E44A90" w:tentative="1">
      <w:start w:val="1"/>
      <w:numFmt w:val="bullet"/>
      <w:lvlText w:val=""/>
      <w:lvlJc w:val="left"/>
      <w:pPr>
        <w:ind w:left="6480" w:hanging="360"/>
      </w:pPr>
      <w:rPr>
        <w:rFonts w:ascii="Wingdings" w:hAnsi="Wingdings" w:hint="default"/>
      </w:rPr>
    </w:lvl>
  </w:abstractNum>
  <w:abstractNum w:abstractNumId="5" w15:restartNumberingAfterBreak="0">
    <w:nsid w:val="69216306"/>
    <w:multiLevelType w:val="hybridMultilevel"/>
    <w:tmpl w:val="6EC28E64"/>
    <w:lvl w:ilvl="0" w:tplc="1E2E3EF0">
      <w:start w:val="1"/>
      <w:numFmt w:val="bullet"/>
      <w:lvlText w:val=""/>
      <w:lvlJc w:val="left"/>
      <w:pPr>
        <w:ind w:left="360" w:hanging="360"/>
      </w:pPr>
      <w:rPr>
        <w:rFonts w:ascii="Symbol" w:hAnsi="Symbol" w:hint="default"/>
      </w:rPr>
    </w:lvl>
    <w:lvl w:ilvl="1" w:tplc="0F0463E6" w:tentative="1">
      <w:start w:val="1"/>
      <w:numFmt w:val="bullet"/>
      <w:lvlText w:val="o"/>
      <w:lvlJc w:val="left"/>
      <w:pPr>
        <w:ind w:left="1080" w:hanging="360"/>
      </w:pPr>
      <w:rPr>
        <w:rFonts w:ascii="Courier New" w:hAnsi="Courier New" w:cs="Courier New" w:hint="default"/>
      </w:rPr>
    </w:lvl>
    <w:lvl w:ilvl="2" w:tplc="D0E67C86" w:tentative="1">
      <w:start w:val="1"/>
      <w:numFmt w:val="bullet"/>
      <w:lvlText w:val=""/>
      <w:lvlJc w:val="left"/>
      <w:pPr>
        <w:ind w:left="1800" w:hanging="360"/>
      </w:pPr>
      <w:rPr>
        <w:rFonts w:ascii="Wingdings" w:hAnsi="Wingdings" w:hint="default"/>
      </w:rPr>
    </w:lvl>
    <w:lvl w:ilvl="3" w:tplc="B79A064A" w:tentative="1">
      <w:start w:val="1"/>
      <w:numFmt w:val="bullet"/>
      <w:lvlText w:val=""/>
      <w:lvlJc w:val="left"/>
      <w:pPr>
        <w:ind w:left="2520" w:hanging="360"/>
      </w:pPr>
      <w:rPr>
        <w:rFonts w:ascii="Symbol" w:hAnsi="Symbol" w:hint="default"/>
      </w:rPr>
    </w:lvl>
    <w:lvl w:ilvl="4" w:tplc="C87A8CA8" w:tentative="1">
      <w:start w:val="1"/>
      <w:numFmt w:val="bullet"/>
      <w:lvlText w:val="o"/>
      <w:lvlJc w:val="left"/>
      <w:pPr>
        <w:ind w:left="3240" w:hanging="360"/>
      </w:pPr>
      <w:rPr>
        <w:rFonts w:ascii="Courier New" w:hAnsi="Courier New" w:cs="Courier New" w:hint="default"/>
      </w:rPr>
    </w:lvl>
    <w:lvl w:ilvl="5" w:tplc="8EF28594" w:tentative="1">
      <w:start w:val="1"/>
      <w:numFmt w:val="bullet"/>
      <w:lvlText w:val=""/>
      <w:lvlJc w:val="left"/>
      <w:pPr>
        <w:ind w:left="3960" w:hanging="360"/>
      </w:pPr>
      <w:rPr>
        <w:rFonts w:ascii="Wingdings" w:hAnsi="Wingdings" w:hint="default"/>
      </w:rPr>
    </w:lvl>
    <w:lvl w:ilvl="6" w:tplc="241C8C38" w:tentative="1">
      <w:start w:val="1"/>
      <w:numFmt w:val="bullet"/>
      <w:lvlText w:val=""/>
      <w:lvlJc w:val="left"/>
      <w:pPr>
        <w:ind w:left="4680" w:hanging="360"/>
      </w:pPr>
      <w:rPr>
        <w:rFonts w:ascii="Symbol" w:hAnsi="Symbol" w:hint="default"/>
      </w:rPr>
    </w:lvl>
    <w:lvl w:ilvl="7" w:tplc="B456D0E4" w:tentative="1">
      <w:start w:val="1"/>
      <w:numFmt w:val="bullet"/>
      <w:lvlText w:val="o"/>
      <w:lvlJc w:val="left"/>
      <w:pPr>
        <w:ind w:left="5400" w:hanging="360"/>
      </w:pPr>
      <w:rPr>
        <w:rFonts w:ascii="Courier New" w:hAnsi="Courier New" w:cs="Courier New" w:hint="default"/>
      </w:rPr>
    </w:lvl>
    <w:lvl w:ilvl="8" w:tplc="49084AFC"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32"/>
    <w:rsid w:val="001C5A32"/>
    <w:rsid w:val="00547BE6"/>
    <w:rsid w:val="00DE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0194"/>
  <w15:docId w15:val="{FA22490A-19F0-4862-8175-23FCA9BC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unhideWhenUsed/>
    <w:qFormat/>
    <w:rsid w:val="002E7709"/>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6</cp:revision>
  <dcterms:created xsi:type="dcterms:W3CDTF">2020-10-15T15:36:00Z</dcterms:created>
  <dcterms:modified xsi:type="dcterms:W3CDTF">2020-10-26T08:55:00Z</dcterms:modified>
</cp:coreProperties>
</file>